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380"/>
      </w:pPr>
      <w:r>
        <w:drawing>
          <wp:inline xmlns:a="http://schemas.openxmlformats.org/drawingml/2006/main" xmlns:pic="http://schemas.openxmlformats.org/drawingml/2006/picture">
            <wp:extent cx="987552" cy="289924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ona-logo-light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87552" cy="28992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</w:pPr>
      <w:r>
        <w:rPr>
          <w:b w:val="0"/>
        </w:rPr>
        <w:t>ChatGPT plan and PHI review matrix</w:t>
      </w:r>
    </w:p>
    <w:p>
      <w:r>
        <w:rPr>
          <w:b w:val="0"/>
        </w:rPr>
        <w:t>Healthcare privacy, security and procurement teams</w:t>
      </w:r>
    </w:p>
    <w:p>
      <w:pPr>
        <w:spacing w:after="280"/>
      </w:pPr>
      <w:hyperlink r:id="rId10">
        <w:r>
          <w:rPr>
            <w:color w:val="6412A6"/>
            <w:u w:val="single"/>
          </w:rPr>
          <w:t>Read the complete guide on aona.ai</w:t>
        </w:r>
      </w:hyperlink>
    </w:p>
    <w:p>
      <w:r>
        <w:rPr>
          <w:b w:val="0"/>
        </w:rPr>
        <w:t>OpenAI’s 9 July 2026 guide permits ChatGPT Enterprise or Edu PHI use only when the BAA expressly identifies the service as eligible; it excludes Free, Plus, Pro and Business. Healthcare and Regulated Workspaces have a separate guide. Check the applicable workspace agreement and feature conditions before sending patient information.</w:t>
      </w:r>
    </w:p>
    <w:p>
      <w:r>
        <w:rPr>
          <w:b w:val="0"/>
        </w:rPr>
        <w:t>Published plan and feature conditions from OpenAI’s guide posted 9 July 2026, checked on 21 September 2026. A separate feature checklist is included in the pack.</w:t>
      </w:r>
    </w:p>
    <w:p>
      <w:r>
        <w:rPr>
          <w:b w:val="0"/>
        </w:rPr>
        <w:t>Vendor positions are documented and scope-specific. The customer review context and practice prompt are synthetic; no customer agreement or deployment is approved.</w:t>
      </w:r>
    </w:p>
    <w:p>
      <w:pPr>
        <w:pStyle w:val="Heading1"/>
        <w:keepNext/>
      </w:pPr>
      <w:r>
        <w:t>Your review</w:t>
      </w:r>
    </w:p>
    <w:p>
      <w:r>
        <w:rPr>
          <w:b w:val="0"/>
        </w:rPr>
        <w:t>Reviewer: ____________________    Date: ____________________</w:t>
      </w:r>
    </w:p>
    <w:p>
      <w:r>
        <w:rPr>
          <w:b w:val="0"/>
        </w:rPr>
        <w:t>Organisation or team: _____________________________________</w:t>
      </w:r>
    </w:p>
    <w:p>
      <w:pPr>
        <w:keepNext/>
        <w:spacing w:before="200" w:after="60"/>
      </w:pPr>
      <w:sdt>
        <w:sdtPr>
          <w:tag w:val="aona-check:plan"/>
          <w:id w:val="100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rPr>
          <w:b/>
        </w:rPr>
        <w:t xml:space="preserve">  Match plan and workspace scope</w:t>
      </w:r>
    </w:p>
    <w:p>
      <w:r>
        <w:rPr>
          <w:b w:val="0"/>
        </w:rPr>
        <w:t>Identify whether the July Enterprise/Edu guide or separate Healthcare/Regulated guidance applies.</w:t>
      </w:r>
    </w:p>
    <w:p>
      <w:pPr>
        <w:keepNext/>
        <w:spacing w:before="200" w:after="60"/>
      </w:pPr>
      <w:sdt>
        <w:sdtPr>
          <w:tag w:val="aona-check:agreement"/>
          <w:id w:val="101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rPr>
          <w:b/>
        </w:rPr>
        <w:t xml:space="preserve">  Confirm explicit BAA eligibility</w:t>
      </w:r>
    </w:p>
    <w:p>
      <w:r>
        <w:rPr>
          <w:b w:val="0"/>
        </w:rPr>
        <w:t>Check the actual named service, permitted purpose and contractual conditions.</w:t>
      </w:r>
    </w:p>
    <w:p>
      <w:pPr>
        <w:keepNext/>
        <w:spacing w:before="200" w:after="60"/>
      </w:pPr>
      <w:sdt>
        <w:sdtPr>
          <w:tag w:val="aona-check:feature"/>
          <w:id w:val="102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rPr>
          <w:b/>
        </w:rPr>
        <w:t xml:space="preserve">  Review feature and field restrictions</w:t>
      </w:r>
    </w:p>
    <w:p>
      <w:r>
        <w:rPr>
          <w:b w:val="0"/>
        </w:rPr>
        <w:t>Validate the current guide, enabled settings, retention, recipients and sharing for the intended input.</w:t>
      </w:r>
    </w:p>
    <w:p>
      <w:r>
        <w:rPr>
          <w:b w:val="0"/>
        </w:rPr>
        <w:t>Checked items record your review, not a compliance approval or an installed-product test result.</w:t>
      </w:r>
    </w:p>
    <w:p>
      <w:pPr>
        <w:pStyle w:val="Heading2"/>
        <w:keepNext/>
      </w:pPr>
      <w:r>
        <w:t>Notes and next actions</w:t>
      </w:r>
    </w:p>
    <w:p>
      <w:pPr>
        <w:spacing w:after="200"/>
      </w:pPr>
      <w:r>
        <w:rPr>
          <w:b/>
        </w:rPr>
        <w:t xml:space="preserve">Decision and scope: </w:t>
      </w:r>
      <w:r>
        <w:t>_____________________________________________</w:t>
      </w:r>
    </w:p>
    <w:p>
      <w:pPr>
        <w:spacing w:after="200"/>
      </w:pPr>
      <w:r>
        <w:rPr>
          <w:b/>
        </w:rPr>
        <w:t xml:space="preserve">Evidence to collect: </w:t>
      </w:r>
      <w:r>
        <w:t>_____________________________________________</w:t>
      </w:r>
    </w:p>
    <w:p>
      <w:pPr>
        <w:spacing w:after="200"/>
      </w:pPr>
      <w:r>
        <w:rPr>
          <w:b/>
        </w:rPr>
        <w:t xml:space="preserve">Owner and next review date: </w:t>
      </w:r>
      <w:r>
        <w:t>_____________________________________________</w:t>
      </w:r>
    </w:p>
    <w:p>
      <w:pPr>
        <w:pStyle w:val="Heading1"/>
        <w:keepNext/>
      </w:pPr>
      <w:r>
        <w:t>Review matrix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473"/>
        <w:gridCol w:w="3710"/>
        <w:gridCol w:w="3710"/>
      </w:tblGrid>
      <w:tr>
        <w:trPr>
          <w:tblHeader/>
          <w:cantSplit/>
        </w:trPr>
        <w:tc>
          <w:tcPr>
            <w:tcW w:type="dxa" w:w="2473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2E8FA"/>
          </w:tcPr>
          <w:p>
            <w:pPr>
              <w:keepNext w:val="0"/>
              <w:spacing w:after="40" w:before="40" w:line="259" w:lineRule="auto"/>
            </w:pPr>
            <w:r>
              <w:rPr>
                <w:b/>
                <w:color w:val="30243A"/>
                <w:sz w:val="19"/>
              </w:rPr>
              <w:t>Plan or control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2E8FA"/>
          </w:tcPr>
          <w:p>
            <w:pPr>
              <w:keepNext w:val="0"/>
              <w:spacing w:after="40" w:before="40" w:line="259" w:lineRule="auto"/>
            </w:pPr>
            <w:r>
              <w:rPr>
                <w:b/>
                <w:color w:val="30243A"/>
                <w:sz w:val="19"/>
              </w:rPr>
              <w:t>Published position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2E8FA"/>
          </w:tcPr>
          <w:p>
            <w:pPr>
              <w:keepNext w:val="0"/>
              <w:spacing w:after="40" w:before="40" w:line="259" w:lineRule="auto"/>
            </w:pPr>
            <w:r>
              <w:rPr>
                <w:b/>
                <w:color w:val="30243A"/>
                <w:sz w:val="19"/>
              </w:rPr>
              <w:t>Customer verification</w:t>
            </w:r>
          </w:p>
        </w:tc>
      </w:tr>
      <w:tr>
        <w:trPr>
          <w:cantSplit/>
        </w:trPr>
        <w:tc>
          <w:tcPr>
            <w:tcW w:type="dxa" w:w="2473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ChatGPT Enterprise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Eligible only if expressly identified in the BAA, under the July guide’s scope.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Match the executed BAA and applicable workspace/feature guide.</w:t>
            </w:r>
          </w:p>
        </w:tc>
      </w:tr>
      <w:tr>
        <w:trPr>
          <w:cantSplit/>
        </w:trPr>
        <w:tc>
          <w:tcPr>
            <w:tcW w:type="dxa" w:w="2473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ChatGPT Edu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The same explicit BAA eligibility condition applies in the July guide.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Do not infer PHI permission from education branding alone.</w:t>
            </w:r>
          </w:p>
        </w:tc>
      </w:tr>
      <w:tr>
        <w:trPr>
          <w:cantSplit/>
        </w:trPr>
        <w:tc>
          <w:tcPr>
            <w:tcW w:type="dxa" w:w="2473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ChatGPT Free, Plus or Pro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Not Eligible Services in the July guide.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Keep PHI out of this consumer-plan route.</w:t>
            </w:r>
          </w:p>
        </w:tc>
      </w:tr>
      <w:tr>
        <w:trPr>
          <w:cantSplit/>
        </w:trPr>
        <w:tc>
          <w:tcPr>
            <w:tcW w:type="dxa" w:w="2473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ChatGPT Business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Not an Eligible Service in the July guide.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A paid business plan does not establish BAA coverage.</w:t>
            </w:r>
          </w:p>
        </w:tc>
      </w:tr>
      <w:tr>
        <w:trPr>
          <w:cantSplit/>
        </w:trPr>
        <w:tc>
          <w:tcPr>
            <w:tcW w:type="dxa" w:w="2473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Healthcare or Enterprise/Edu Regulated Workspace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Explicitly outside the July guide; separate workspace guidance applies.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Review that current scope and agreement, not the ordinary Enterprise/Edu feature list.</w:t>
            </w:r>
          </w:p>
        </w:tc>
      </w:tr>
      <w:tr>
        <w:trPr>
          <w:cantSplit/>
        </w:trPr>
        <w:tc>
          <w:tcPr>
            <w:tcW w:type="dxa" w:w="2473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Enterprise/Edu PHI-prohibited fields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Filenames, profile/workspace details, specified GPT Content and support requests.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Keep these fields free of PHI and apply the exact category definitions.</w:t>
            </w:r>
          </w:p>
        </w:tc>
      </w:tr>
      <w:tr>
        <w:trPr>
          <w:cantSplit/>
        </w:trPr>
        <w:tc>
          <w:tcPr>
            <w:tcW w:type="dxa" w:w="2473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Enterprise/Edu retention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Content remains for the agreement term unless deleted earlier or a shorter period is selected.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Set the appropriate retention and perform required removal under the applicable guide.</w:t>
            </w:r>
          </w:p>
        </w:tc>
      </w:tr>
      <w:tr>
        <w:trPr>
          <w:cantSplit/>
        </w:trPr>
        <w:tc>
          <w:tcPr>
            <w:tcW w:type="dxa" w:w="2473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Search, external execution and connected recipients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The July guide restricts specified PHI uses and recommends disabling relevant third-party transmission features.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Review exact feature settings, recipients and sharing permissions before enabling them.</w:t>
            </w:r>
          </w:p>
        </w:tc>
      </w:tr>
    </w:tbl>
    <w:p>
      <w:pPr>
        <w:spacing w:after="0" w:line="80" w:lineRule="exact"/>
      </w:pPr>
      <w:r>
        <w:rPr>
          <w:sz w:val="2"/>
        </w:rPr>
      </w:r>
    </w:p>
    <w:p>
      <w:pPr>
        <w:pStyle w:val="Heading1"/>
        <w:keepNext/>
      </w:pPr>
      <w:r>
        <w:t>The purchasing decision has three parts</w:t>
      </w:r>
    </w:p>
    <w:p>
      <w:pPr>
        <w:pStyle w:val="ListBullet"/>
      </w:pPr>
      <w:r>
        <w:rPr>
          <w:b/>
        </w:rPr>
        <w:t xml:space="preserve">Plan: </w:t>
      </w:r>
      <w:r>
        <w:t>Identify the eligible service and workspace scope</w:t>
      </w:r>
    </w:p>
    <w:p>
      <w:pPr>
        <w:pStyle w:val="ListBullet"/>
      </w:pPr>
      <w:r>
        <w:rPr>
          <w:b/>
        </w:rPr>
        <w:t xml:space="preserve">Agreement: </w:t>
      </w:r>
      <w:r>
        <w:t>BAA expressly covers the proposed service</w:t>
      </w:r>
    </w:p>
    <w:p>
      <w:pPr>
        <w:pStyle w:val="ListBullet"/>
      </w:pPr>
      <w:r>
        <w:rPr>
          <w:b/>
        </w:rPr>
        <w:t xml:space="preserve">Feature: </w:t>
      </w:r>
      <w:r>
        <w:t>Check fields, retention, recipients and enabled controls</w:t>
      </w:r>
    </w:p>
    <w:p>
      <w:pPr>
        <w:pStyle w:val="Heading3"/>
        <w:keepNext/>
      </w:pPr>
      <w:r>
        <w:t>Feature checklist within the July guide scope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473"/>
        <w:gridCol w:w="3710"/>
        <w:gridCol w:w="3710"/>
      </w:tblGrid>
      <w:tr>
        <w:trPr>
          <w:tblHeader/>
          <w:cantSplit/>
        </w:trPr>
        <w:tc>
          <w:tcPr>
            <w:tcW w:type="dxa" w:w="2473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2E8FA"/>
          </w:tcPr>
          <w:p>
            <w:pPr>
              <w:keepNext w:val="0"/>
              <w:spacing w:after="40" w:before="40" w:line="259" w:lineRule="auto"/>
            </w:pPr>
            <w:r>
              <w:rPr>
                <w:b/>
                <w:color w:val="30243A"/>
                <w:sz w:val="19"/>
              </w:rPr>
              <w:t>July 2026 guide area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2E8FA"/>
          </w:tcPr>
          <w:p>
            <w:pPr>
              <w:keepNext w:val="0"/>
              <w:spacing w:after="40" w:before="40" w:line="259" w:lineRule="auto"/>
            </w:pPr>
            <w:r>
              <w:rPr>
                <w:b/>
                <w:color w:val="30243A"/>
                <w:sz w:val="19"/>
              </w:rPr>
              <w:t>Documented condition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2E8FA"/>
          </w:tcPr>
          <w:p>
            <w:pPr>
              <w:keepNext w:val="0"/>
              <w:spacing w:after="40" w:before="40" w:line="259" w:lineRule="auto"/>
            </w:pPr>
            <w:r>
              <w:rPr>
                <w:b/>
                <w:color w:val="30243A"/>
                <w:sz w:val="19"/>
              </w:rPr>
              <w:t>Scope check</w:t>
            </w:r>
          </w:p>
        </w:tc>
      </w:tr>
      <w:tr>
        <w:trPr>
          <w:cantSplit/>
        </w:trPr>
        <w:tc>
          <w:tcPr>
            <w:tcW w:type="dxa" w:w="2473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PHI-prohibited fields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No PHI in filenames, user profile, workspace name/image, GPT Content or support requests.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See Enterprise/Edu section 4 for exact subfields.</w:t>
            </w:r>
          </w:p>
        </w:tc>
      </w:tr>
      <w:tr>
        <w:trPr>
          <w:cantSplit/>
        </w:trPr>
        <w:tc>
          <w:tcPr>
            <w:tcW w:type="dxa" w:w="2473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Unsupported features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Codex, Memories and Search Agent mode are listed as unsupported for PHI.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Applies to this July guide; Healthcare and Regulated Workspace are excluded from its scope.</w:t>
            </w:r>
          </w:p>
        </w:tc>
      </w:tr>
      <w:tr>
        <w:trPr>
          <w:cantSplit/>
        </w:trPr>
        <w:tc>
          <w:tcPr>
            <w:tcW w:type="dxa" w:w="2473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Search and Deep Research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The described browsing capabilities may not be used with PHI.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Confirm the applicable current workspace guide.</w:t>
            </w:r>
          </w:p>
        </w:tc>
      </w:tr>
      <w:tr>
        <w:trPr>
          <w:cantSplit/>
        </w:trPr>
        <w:tc>
          <w:tcPr>
            <w:tcW w:type="dxa" w:w="2473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Canvas code network access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The described external network requests may not be used with PHI.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Review the exact enabled feature and recipient path.</w:t>
            </w:r>
          </w:p>
        </w:tc>
      </w:tr>
      <w:tr>
        <w:trPr>
          <w:cantSplit/>
        </w:trPr>
        <w:tc>
          <w:tcPr>
            <w:tcW w:type="dxa" w:w="2473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Apps/connectors, Code on macOS and third-party GPTs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The guide describes potential third-party transfers and recommends disabling relevant functionality.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If enabling a permitted feature, review actual recipients and conditions.</w:t>
            </w:r>
          </w:p>
        </w:tc>
      </w:tr>
      <w:tr>
        <w:trPr>
          <w:cantSplit/>
        </w:trPr>
        <w:tc>
          <w:tcPr>
            <w:tcW w:type="dxa" w:w="2473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Sharing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Customer must evaluate permissions and ensure relevant recipients are authorised.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Do not infer that all workspace members may access every shared PHI item.</w:t>
            </w:r>
          </w:p>
        </w:tc>
      </w:tr>
    </w:tbl>
    <w:p>
      <w:pPr>
        <w:spacing w:after="0" w:line="80" w:lineRule="exact"/>
      </w:pPr>
      <w:r>
        <w:rPr>
          <w:sz w:val="2"/>
        </w:rPr>
      </w:r>
    </w:p>
    <w:p>
      <w:pPr>
        <w:pStyle w:val="Heading3"/>
        <w:keepNext/>
      </w:pPr>
      <w:r>
        <w:t>Safe practice prompt</w:t>
      </w:r>
    </w:p>
    <w:p>
      <w:r>
        <w:rPr>
          <w:b w:val="0"/>
        </w:rPr>
        <w:t>Invented scenario: improve a generic reception reminder without adding a patient name, diagnosis, booking date or identifier. No actual patient record or installed-product test result is represented.</w:t>
      </w:r>
    </w:p>
    <w:p>
      <w:r>
        <w:rPr>
          <w:b w:val="0"/>
        </w:rPr>
        <w:t>Obtain the customer’s applicable BAA and current workspace/feature guidance before approving a real use.</w:t>
      </w:r>
    </w:p>
    <w:p>
      <w:pPr>
        <w:pStyle w:val="Heading1"/>
        <w:keepNext/>
      </w:pPr>
      <w:r>
        <w:t>Sources and scope</w:t>
      </w:r>
    </w:p>
    <w:p>
      <w:pPr>
        <w:pStyle w:val="SourceNote"/>
        <w:keepNext/>
      </w:pPr>
      <w:r>
        <w:rPr>
          <w:b w:val="0"/>
        </w:rPr>
        <w:t>PHI means protected health information. BAA means business associate agreement.</w:t>
      </w:r>
    </w:p>
    <w:p>
      <w:pPr>
        <w:pStyle w:val="SourceNote"/>
        <w:keepNext/>
      </w:pPr>
      <w:r>
        <w:rPr>
          <w:b w:val="0"/>
        </w:rPr>
        <w:t>Sources checked 2026-09-21. Review the current requirements and your actual agreement before using this workbook for a real decision. General information, not professional approval or a completed control test. Aona does not approve HIPAA disclosures, supply an OpenAI BAA or certify a workflow as compliant. Its own handling and contractual role need review.</w:t>
      </w:r>
    </w:p>
    <w:p>
      <w:pPr>
        <w:pStyle w:val="SourceNote"/>
        <w:keepNext/>
      </w:pPr>
      <w:hyperlink r:id="rId12">
        <w:r>
          <w:rPr>
            <w:color w:val="6412A6"/>
            <w:u w:val="single"/>
          </w:rPr>
          <w:t>HHS: Guidance on HIPAA and cloud computing</w:t>
        </w:r>
      </w:hyperlink>
      <w:r>
        <w:t>. Business-associate roles, BAAs, risk analysis and cloud-service safeguards, including providers without decryption keys.</w:t>
      </w:r>
    </w:p>
    <w:p>
      <w:pPr>
        <w:pStyle w:val="SourceNote"/>
        <w:keepNext/>
      </w:pPr>
      <w:hyperlink r:id="rId13">
        <w:r>
          <w:rPr>
            <w:color w:val="6412A6"/>
            <w:u w:val="single"/>
          </w:rPr>
          <w:t>OpenAI: HIPAA Implementation and Configuration Guide, 9 July 2026</w:t>
        </w:r>
      </w:hyperlink>
      <w:r>
        <w:t>. Dated Enterprise/Edu BAA eligibility, excluded consumer/Business plans, PHI-prohibited fields, retention and feature conditions; explicitly excludes Healthcare and Regulated Workspace scope.</w:t>
      </w:r>
    </w:p>
    <w:p>
      <w:pPr>
        <w:pStyle w:val="SourceNote"/>
        <w:keepNext/>
      </w:pPr>
      <w:hyperlink r:id="rId14">
        <w:r>
          <w:rPr>
            <w:color w:val="6412A6"/>
            <w:u w:val="single"/>
          </w:rPr>
          <w:t>OpenAI: HIPAA configuration guide for Codex</w:t>
        </w:r>
      </w:hyperlink>
      <w:r>
        <w:t>. Separate Codex Local conditions for the specified Healthcare, Clinicians or Regulated workspace/API paths and an explicit Codex cloud exclusion; not a replacement for every ChatGPT workspace guide.</w:t>
      </w:r>
    </w:p>
    <w:p>
      <w:pPr>
        <w:pStyle w:val="Heading2"/>
        <w:keepNext/>
      </w:pPr>
      <w:r>
        <w:t>Additional source and scope notes</w:t>
      </w:r>
    </w:p>
    <w:p>
      <w:pPr>
        <w:pStyle w:val="SourceNote"/>
        <w:keepNext/>
      </w:pPr>
      <w:r>
        <w:rPr>
          <w:b w:val="0"/>
        </w:rPr>
        <w:t>Official source: https://cdn.openai.com/osa/hipaa-guide.pdf</w:t>
        <w:br/>
        <w:t>Posted: 9 July 2026</w:t>
        <w:br/>
        <w:t>Retrieved: 21 September 2026</w:t>
        <w:br/>
        <w:t>SHA-256: fa9aa775e352c29c277a250ba80938025be206af060e4dee824e6b7a8f966607</w:t>
      </w:r>
    </w:p>
    <w:p>
      <w:pPr>
        <w:pStyle w:val="SourceNote"/>
        <w:keepNext w:val="0"/>
      </w:pPr>
      <w:r>
        <w:rPr>
          <w:b w:val="0"/>
        </w:rPr>
        <w:t>This guide explicitly excludes ChatGPT for Healthcare and Enterprise/Edu Regulated Workspaces. The separate Codex guide has a different stated scope: https://learn.chatgpt.com/docs/hipaa-configuration</w:t>
      </w:r>
    </w:p>
    <w:sectPr w:rsidR="00FC693F" w:rsidRPr="0006063C" w:rsidSect="00034616">
      <w:footerReference w:type="default" r:id="rId11"/>
      <w:pgSz w:w="11909" w:h="16834"/>
      <w:pgMar w:top="950" w:right="1008" w:bottom="922" w:left="1008" w:header="360" w:footer="40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677" w:val="right"/>
      </w:tabs>
      <w:jc w:val="left"/>
    </w:pPr>
    <w:r>
      <w:rPr>
        <w:color w:val="776381"/>
        <w:sz w:val="16"/>
      </w:rPr>
      <w:t>aona.ai</w:t>
      <w:tab/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40" w:line="276" w:lineRule="auto"/>
    </w:pPr>
    <w:rPr>
      <w:rFonts w:ascii="Arial" w:hAnsi="Arial"/>
      <w:color w:val="30243A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40" w:after="160"/>
      <w:outlineLvl w:val="0"/>
    </w:pPr>
    <w:rPr>
      <w:rFonts w:ascii="Arial" w:hAnsi="Arial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340" w:after="160"/>
      <w:outlineLvl w:val="1"/>
    </w:pPr>
    <w:rPr>
      <w:rFonts w:ascii="Arial" w:hAnsi="Arial"/>
      <w:b/>
      <w:bCs/>
      <w:color w:val="000000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340" w:after="160"/>
      <w:outlineLvl w:val="2"/>
    </w:pPr>
    <w:rPr>
      <w:rFonts w:ascii="Arial" w:hAnsi="Arial"/>
      <w:b/>
      <w:bCs/>
      <w:color w:val="000000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60" w:line="240" w:lineRule="auto" w:before="0"/>
      <w:contextualSpacing/>
    </w:pPr>
    <w:rPr>
      <w:rFonts w:ascii="Arial" w:hAnsi="Arial"/>
      <w:b w:val="0"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00"/>
      <w:contextualSpacing/>
    </w:pPr>
    <w:rPr>
      <w:rFonts w:ascii="Arial" w:hAnsi="Arial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100"/>
      <w:contextualSpacing/>
    </w:pPr>
    <w:rPr>
      <w:rFonts w:ascii="Arial" w:hAnsi="Arial"/>
      <w:sz w:val="21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ourceNote">
    <w:name w:val="Source Note"/>
    <w:basedOn w:val="Normal"/>
    <w:pPr>
      <w:spacing w:line="259" w:lineRule="auto" w:after="100"/>
    </w:pPr>
    <w:rPr>
      <w:sz w:val="19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hyperlink" Target="https://aona.ai/resources/guides/chatgpt-hipaa-baa-checklist/" TargetMode="External"/><Relationship Id="rId11" Type="http://schemas.openxmlformats.org/officeDocument/2006/relationships/footer" Target="footer1.xml"/><Relationship Id="rId12" Type="http://schemas.openxmlformats.org/officeDocument/2006/relationships/hyperlink" Target="https://www.hhs.gov/hipaa/for-professionals/special-topics/health-information-technology/cloud-computing/index.html" TargetMode="External"/><Relationship Id="rId13" Type="http://schemas.openxmlformats.org/officeDocument/2006/relationships/hyperlink" Target="https://cdn.openai.com/osa/hipaa-guide.pdf" TargetMode="External"/><Relationship Id="rId14" Type="http://schemas.openxmlformats.org/officeDocument/2006/relationships/hyperlink" Target="https://learn.chatgpt.com/docs/hipaa-configura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ChatGPT plan and PHI review matrix</dc:title>
  <dc:subject>ChatGPT and HIPAA: plans, BAAs and features</dc:subject>
  <dc:creator>Aona</dc:creator>
  <cp:keywords>AI security review workbook</cp:keywords>
  <dc:description>generated by python-docx</dc:description>
  <cp:lastModifiedBy/>
  <cp:revision>1</cp:revision>
  <dcterms:created xsi:type="dcterms:W3CDTF">2026-09-21T00:00:00Z</dcterms:created>
  <dcterms:modified xsi:type="dcterms:W3CDTF">2026-09-21T00:00:00Z</dcterms:modified>
  <cp:category/>
</cp:coreProperties>
</file>