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80"/>
      </w:pPr>
      <w:r>
        <w:drawing>
          <wp:inline xmlns:a="http://schemas.openxmlformats.org/drawingml/2006/main" xmlns:pic="http://schemas.openxmlformats.org/drawingml/2006/picture">
            <wp:extent cx="987552" cy="2899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ona-logo-ligh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289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b w:val="0"/>
        </w:rPr>
        <w:t>Patient-note annotation exercise</w:t>
      </w:r>
    </w:p>
    <w:p>
      <w:r>
        <w:rPr>
          <w:b w:val="0"/>
        </w:rPr>
        <w:t>Healthcare privacy teams and security engineers</w:t>
      </w:r>
    </w:p>
    <w:p>
      <w:pPr>
        <w:spacing w:after="280"/>
      </w:pPr>
      <w:hyperlink r:id="rId10">
        <w:r>
          <w:rPr>
            <w:color w:val="6412A6"/>
            <w:u w:val="single"/>
          </w:rPr>
          <w:t>Read the complete guide on aona.ai</w:t>
        </w:r>
      </w:hyperlink>
    </w:p>
    <w:p>
      <w:r>
        <w:rPr>
          <w:b w:val="0"/>
        </w:rPr>
        <w:t>Removing a patient’s name is not enough to establish HIPAA de-identification. HHS describes two methods: Safe Harbor, with its identifier-removal and actual-knowledge conditions, and Expert Determination. Review narrative clues and the recipient’s context as well as structured fields.</w:t>
      </w:r>
    </w:p>
    <w:p>
      <w:r>
        <w:rPr>
          <w:b w:val="0"/>
        </w:rPr>
        <w:t>Compare three treatments of one invented note. The worksheet illustrates review decisions, not a legal determination about a real dataset.</w:t>
      </w:r>
    </w:p>
    <w:p>
      <w:r>
        <w:rPr>
          <w:b w:val="0"/>
        </w:rPr>
        <w:t>Entirely synthetic patient, events and identifiers. No expert determination or product test has been performed.</w:t>
      </w:r>
    </w:p>
    <w:p>
      <w:pPr>
        <w:pStyle w:val="Heading1"/>
        <w:keepNext/>
      </w:pPr>
      <w:r>
        <w:t>Your review</w:t>
      </w:r>
    </w:p>
    <w:p>
      <w:r>
        <w:rPr>
          <w:b w:val="0"/>
        </w:rPr>
        <w:t>Reviewer: ____________________    Date: ____________________</w:t>
      </w:r>
    </w:p>
    <w:p>
      <w:r>
        <w:rPr>
          <w:b w:val="0"/>
        </w:rPr>
        <w:t>Organisation or team: _____________________________________</w:t>
      </w:r>
    </w:p>
    <w:p>
      <w:pPr>
        <w:keepNext/>
        <w:spacing w:before="200" w:after="60"/>
      </w:pPr>
      <w:sdt>
        <w:sdtPr>
          <w:tag w:val="aona-check:method"/>
          <w:id w:val="10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Record the chosen legal method</w:t>
      </w:r>
    </w:p>
    <w:p>
      <w:r>
        <w:rPr>
          <w:b w:val="0"/>
        </w:rPr>
        <w:t>Distinguish Safe Harbor review, documented Expert Determination and ordinary masking.</w:t>
      </w:r>
    </w:p>
    <w:p>
      <w:pPr>
        <w:keepNext/>
        <w:spacing w:before="200" w:after="60"/>
      </w:pPr>
      <w:sdt>
        <w:sdtPr>
          <w:tag w:val="aona-check:complete"/>
          <w:id w:val="10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Review the complete output</w:t>
      </w:r>
    </w:p>
    <w:p>
      <w:r>
        <w:rPr>
          <w:b w:val="0"/>
        </w:rPr>
        <w:t>Apply identifier and contextual checks to free text, all file content and relevant metadata.</w:t>
      </w:r>
    </w:p>
    <w:p>
      <w:pPr>
        <w:keepNext/>
        <w:spacing w:before="200" w:after="60"/>
      </w:pPr>
      <w:sdt>
        <w:sdtPr>
          <w:tag w:val="aona-check:context"/>
          <w:id w:val="10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Keep the release conditions</w:t>
      </w:r>
    </w:p>
    <w:p>
      <w:r>
        <w:rPr>
          <w:b w:val="0"/>
        </w:rPr>
        <w:t>Record the recipient, remaining information and reason the selected method is satisfied; do not invent reviewer sign-off.</w:t>
      </w:r>
    </w:p>
    <w:p>
      <w:r>
        <w:rPr>
          <w:b w:val="0"/>
        </w:rPr>
        <w:t>Checked items record your review, not a compliance approval or an installed-product test result.</w:t>
      </w:r>
    </w:p>
    <w:p>
      <w:pPr>
        <w:pStyle w:val="Heading2"/>
        <w:keepNext/>
      </w:pPr>
      <w:r>
        <w:t>Notes and next actions</w:t>
      </w:r>
    </w:p>
    <w:p>
      <w:pPr>
        <w:spacing w:after="200"/>
      </w:pPr>
      <w:r>
        <w:rPr>
          <w:b/>
        </w:rPr>
        <w:t xml:space="preserve">Decision and scope: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Evidence to collect: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Owner and next review date: </w:t>
      </w:r>
      <w:r>
        <w:t>_____________________________________________</w:t>
      </w:r>
    </w:p>
    <w:p>
      <w:pPr>
        <w:pStyle w:val="Heading1"/>
        <w:keepNext/>
      </w:pPr>
      <w:r>
        <w:t>Review matrix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73"/>
        <w:gridCol w:w="3710"/>
        <w:gridCol w:w="3710"/>
      </w:tblGrid>
      <w:tr>
        <w:trPr>
          <w:tblHeader/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Item in invented note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Why review it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Illustrative treatment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Mara Example; MRN TEST-4821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Name and medical-record identifier.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Remove both, rather than replacing only the visible name.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Seen on 14 March 2026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Date directly related to an individual.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Retain 2026 only for a Safe Harbor review.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Age 93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Age above 89.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Use the category age 90 or older.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Only harbour master in a small town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Distinctive context may identify the person.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Omit occupation and locality where unnecessary; assess remaining context.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Patient A attended on 14 March, age 93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Masking retains multiple identifying clues.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Do not label this version de-identified.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Older adult discussed a routine follow-up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More general wording loses clinical detail.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Check task utility and the complete chosen method before any real release.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Masking is one transformation</w:t>
      </w:r>
    </w:p>
    <w:p>
      <w:pPr>
        <w:pStyle w:val="ListBullet"/>
      </w:pPr>
      <w:r>
        <w:rPr>
          <w:b/>
        </w:rPr>
        <w:t xml:space="preserve">Invented original: </w:t>
      </w:r>
      <w:r>
        <w:t>Mara Example, MRN TEST-4821, age 93, attended on 14 March 2026.</w:t>
      </w:r>
    </w:p>
    <w:p>
      <w:r>
        <w:rPr>
          <w:b w:val="0"/>
        </w:rPr>
        <w:t>The worksheet also includes a distinctive occupation.</w:t>
      </w:r>
    </w:p>
    <w:p>
      <w:pPr>
        <w:pStyle w:val="ListBullet"/>
      </w:pPr>
      <w:r>
        <w:rPr>
          <w:b/>
        </w:rPr>
        <w:t xml:space="preserve">Name-only masking: </w:t>
      </w:r>
      <w:r>
        <w:t>Patient A, age 93, attended on 14 March 2026.</w:t>
      </w:r>
    </w:p>
    <w:p>
      <w:r>
        <w:rPr>
          <w:b w:val="0"/>
        </w:rPr>
        <w:t>Date and age details remain. This is not de-identification.</w:t>
      </w:r>
    </w:p>
    <w:p>
      <w:pPr>
        <w:pStyle w:val="ListBullet"/>
      </w:pPr>
      <w:r>
        <w:rPr>
          <w:b/>
        </w:rPr>
        <w:t xml:space="preserve">Reduced-detail example: </w:t>
      </w:r>
      <w:r>
        <w:t>An adult aged 90 or older discussed a routine follow-up in 2026.</w:t>
      </w:r>
    </w:p>
    <w:p>
      <w:r>
        <w:rPr>
          <w:b w:val="0"/>
        </w:rPr>
        <w:t>Teaching example only. Apply the full chosen method to a real record.</w:t>
      </w:r>
    </w:p>
    <w:p>
      <w:pPr>
        <w:pStyle w:val="Heading3"/>
        <w:keepNext/>
      </w:pPr>
      <w:r>
        <w:t>Invented original</w:t>
      </w:r>
    </w:p>
    <w:p>
      <w:r>
        <w:rPr>
          <w:b w:val="0"/>
        </w:rPr>
        <w:t>Mara Example, MRN TEST-4821, age 93, attended on 14 March 2026. The note describes the only harbour master in a small town seeking a routine follow-up.</w:t>
      </w:r>
    </w:p>
    <w:p>
      <w:pPr>
        <w:pStyle w:val="Heading3"/>
        <w:keepNext/>
      </w:pPr>
      <w:r>
        <w:t>Ordinary masking, insufficient by itself</w:t>
      </w:r>
    </w:p>
    <w:p>
      <w:r>
        <w:rPr>
          <w:b w:val="0"/>
        </w:rPr>
        <w:t>Patient A, age 93, attended on 14 March 2026. The note describes the only harbour master in a small town seeking a routine follow-up.</w:t>
      </w:r>
    </w:p>
    <w:p>
      <w:pPr>
        <w:pStyle w:val="Heading3"/>
        <w:keepNext/>
      </w:pPr>
      <w:r>
        <w:t>Reduced-detail teaching example</w:t>
      </w:r>
    </w:p>
    <w:p>
      <w:r>
        <w:rPr>
          <w:b w:val="0"/>
        </w:rPr>
        <w:t>An adult aged 90 or older discussed a routine follow-up in 2026.</w:t>
      </w:r>
    </w:p>
    <w:p>
      <w:r>
        <w:rPr>
          <w:b w:val="0"/>
        </w:rPr>
        <w:t>The last version is a teaching example only. This exercise does not establish that a real record meets Safe Harbor or Expert Determination.</w:t>
      </w:r>
    </w:p>
    <w:p>
      <w:pPr>
        <w:pStyle w:val="Heading1"/>
        <w:keepNext/>
      </w:pPr>
      <w:r>
        <w:t>Sources and scope</w:t>
      </w:r>
    </w:p>
    <w:p>
      <w:pPr>
        <w:pStyle w:val="SourceNote"/>
        <w:keepNext/>
      </w:pPr>
      <w:r>
        <w:rPr>
          <w:b w:val="0"/>
        </w:rPr>
        <w:t>Sources checked 2026-09-21. Review the current requirements and your actual agreement before using this workbook for a real decision. General information; no professional approval or installed-product result is represented. Detected entities and redacted output do not establish HIPAA Safe Harbor or Expert Determination. Aona does not provide an expert’s legal de-identification decision.</w:t>
      </w:r>
    </w:p>
    <w:p>
      <w:pPr>
        <w:pStyle w:val="SourceNote"/>
        <w:keepNext w:val="0"/>
      </w:pPr>
      <w:hyperlink r:id="rId12">
        <w:r>
          <w:rPr>
            <w:color w:val="6412A6"/>
            <w:u w:val="single"/>
          </w:rPr>
          <w:t>HHS: Methods for de-identification of PHI</w:t>
        </w:r>
      </w:hyperlink>
      <w:r>
        <w:t>. Safe Harbor and Expert Determination, identifiers in free text, actual knowledge and residual identification risk.</w:t>
      </w:r>
    </w:p>
    <w:sectPr w:rsidR="00FC693F" w:rsidRPr="0006063C" w:rsidSect="00034616">
      <w:footerReference w:type="default" r:id="rId11"/>
      <w:pgSz w:w="11909" w:h="16834"/>
      <w:pgMar w:top="950" w:right="1008" w:bottom="922" w:left="1008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77" w:val="right"/>
      </w:tabs>
      <w:jc w:val="left"/>
    </w:pPr>
    <w:r>
      <w:rPr>
        <w:color w:val="776381"/>
        <w:sz w:val="16"/>
      </w:rPr>
      <w:t>aona.ai</w:t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76" w:lineRule="auto"/>
    </w:pPr>
    <w:rPr>
      <w:rFonts w:ascii="Arial" w:hAnsi="Arial"/>
      <w:color w:val="3024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60"/>
      <w:outlineLvl w:val="0"/>
    </w:pPr>
    <w:rPr>
      <w:rFonts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0" w:after="160"/>
      <w:outlineLvl w:val="1"/>
    </w:pPr>
    <w:rPr>
      <w:rFonts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40" w:after="160"/>
      <w:outlineLvl w:val="2"/>
    </w:pPr>
    <w:rPr>
      <w:rFonts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="Arial" w:hAnsi="Arial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Note">
    <w:name w:val="Source Note"/>
    <w:basedOn w:val="Normal"/>
    <w:pPr>
      <w:spacing w:line="259" w:lineRule="auto" w:after="100"/>
    </w:pPr>
    <w:rPr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aona.ai/resources/guides/hipaa-de-identification-ai-patient-notes/" TargetMode="External"/><Relationship Id="rId11" Type="http://schemas.openxmlformats.org/officeDocument/2006/relationships/footer" Target="footer1.xml"/><Relationship Id="rId12" Type="http://schemas.openxmlformats.org/officeDocument/2006/relationships/hyperlink" Target="https://www.hhs.gov/hipaa/for-professionals/special-topics/de-identification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Patient-note annotation exercise</dc:title>
  <dc:subject>De-identifying patient notes before AI</dc:subject>
  <dc:creator>Aona</dc:creator>
  <cp:keywords>AI security review workbook</cp:keywords>
  <dc:description>generated by python-docx</dc:description>
  <cp:lastModifiedBy/>
  <cp:revision>1</cp:revision>
  <dcterms:created xsi:type="dcterms:W3CDTF">2026-09-21T00:00:00Z</dcterms:created>
  <dcterms:modified xsi:type="dcterms:W3CDTF">2026-09-21T00:00:00Z</dcterms:modified>
  <cp:category/>
</cp:coreProperties>
</file>