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80"/>
      </w:pPr>
      <w:r>
        <w:drawing>
          <wp:inline xmlns:a="http://schemas.openxmlformats.org/drawingml/2006/main" xmlns:pic="http://schemas.openxmlformats.org/drawingml/2006/picture">
            <wp:extent cx="987552" cy="289924"/>
            <wp:docPr id="1" name="Picture 1"/>
            <wp:cNvGraphicFramePr>
              <a:graphicFrameLocks noChangeAspect="1"/>
            </wp:cNvGraphicFramePr>
            <a:graphic>
              <a:graphicData uri="http://schemas.openxmlformats.org/drawingml/2006/picture">
                <pic:pic>
                  <pic:nvPicPr>
                    <pic:cNvPr id="0" name="aona-logo-light.png"/>
                    <pic:cNvPicPr/>
                  </pic:nvPicPr>
                  <pic:blipFill>
                    <a:blip r:embed="rId9"/>
                    <a:stretch>
                      <a:fillRect/>
                    </a:stretch>
                  </pic:blipFill>
                  <pic:spPr>
                    <a:xfrm>
                      <a:off x="0" y="0"/>
                      <a:ext cx="987552" cy="289924"/>
                    </a:xfrm>
                    <a:prstGeom prst="rect"/>
                  </pic:spPr>
                </pic:pic>
              </a:graphicData>
            </a:graphic>
          </wp:inline>
        </w:drawing>
      </w:r>
    </w:p>
    <w:p>
      <w:pPr>
        <w:pStyle w:val="Title"/>
      </w:pPr>
      <w:r>
        <w:rPr>
          <w:b w:val="0"/>
        </w:rPr>
        <w:t>Minimum-data task worksheet</w:t>
      </w:r>
    </w:p>
    <w:p>
      <w:r>
        <w:rPr>
          <w:b w:val="0"/>
        </w:rPr>
        <w:t>Healthcare privacy officers and staff-use policy owners</w:t>
      </w:r>
    </w:p>
    <w:p>
      <w:pPr>
        <w:spacing w:after="280"/>
      </w:pPr>
      <w:hyperlink r:id="rId10">
        <w:r>
          <w:rPr>
            <w:color w:val="6412A6"/>
            <w:u w:val="single"/>
          </w:rPr>
          <w:t>Read the complete guide on aona.ai</w:t>
        </w:r>
      </w:hyperlink>
    </w:p>
    <w:p>
      <w:r>
        <w:rPr>
          <w:b w:val="0"/>
        </w:rPr>
        <w:t>For an otherwise permitted AI use, identify whether HIPAA’s minimum necessary standard applies, then limit the information to what the task needs. The standard has exceptions, including disclosures to or requests by healthcare providers for treatment. An AI subscription does not itself establish an exception.</w:t>
      </w:r>
    </w:p>
    <w:p>
      <w:r>
        <w:rPr>
          <w:b w:val="0"/>
        </w:rPr>
        <w:t>An invented clinic reviews three staff tasks after separately approving their destination and purpose. The selections illustrate minimisation reasoning, not permission to disclose real PHI.</w:t>
      </w:r>
    </w:p>
    <w:p>
      <w:r>
        <w:rPr>
          <w:b w:val="0"/>
        </w:rPr>
        <w:t>Synthetic administrative examples. No actual patient record, legal approval or control test is represented.</w:t>
      </w:r>
    </w:p>
    <w:p>
      <w:pPr>
        <w:pStyle w:val="Heading1"/>
        <w:keepNext/>
      </w:pPr>
      <w:r>
        <w:t>Your review</w:t>
      </w:r>
    </w:p>
    <w:p>
      <w:r>
        <w:rPr>
          <w:b w:val="0"/>
        </w:rPr>
        <w:t>Reviewer: ____________________    Date: ____________________</w:t>
      </w:r>
    </w:p>
    <w:p>
      <w:r>
        <w:rPr>
          <w:b w:val="0"/>
        </w:rPr>
        <w:t>Organisation or team: _____________________________________</w:t>
      </w:r>
    </w:p>
    <w:p>
      <w:pPr>
        <w:keepNext/>
        <w:spacing w:before="200" w:after="60"/>
      </w:pPr>
      <w:sdt>
        <w:sdtPr>
          <w:tag w:val="aona-check:purpose"/>
          <w:id w:val="100"/>
          <w14:checkbox>
            <w14:checked w14:val="0"/>
            <w14:checkedState w14:val="2612" w14:font="DejaVu Sans"/>
            <w14:uncheckedState w14:val="2610" w14:font="DejaVu Sans"/>
          </w14:checkbox>
        </w:sdtPr>
        <w:sdtContent>
          <w:r>
            <w:rPr>
              <w:rFonts w:ascii="DejaVu Sans" w:hAnsi="DejaVu Sans"/>
            </w:rPr>
            <w:t>☐</w:t>
          </w:r>
        </w:sdtContent>
      </w:sdt>
      <w:r>
        <w:rPr>
          <w:b/>
        </w:rPr>
        <w:t xml:space="preserve">  Confirm purpose and recipient</w:t>
      </w:r>
    </w:p>
    <w:p>
      <w:r>
        <w:rPr>
          <w:b w:val="0"/>
        </w:rPr>
        <w:t>Identify the otherwise permitted use or disclosure before applying this worksheet.</w:t>
      </w:r>
    </w:p>
    <w:p>
      <w:pPr>
        <w:keepNext/>
        <w:spacing w:before="200" w:after="60"/>
      </w:pPr>
      <w:sdt>
        <w:sdtPr>
          <w:tag w:val="aona-check:exception"/>
          <w:id w:val="101"/>
          <w14:checkbox>
            <w14:checked w14:val="0"/>
            <w14:checkedState w14:val="2612" w14:font="DejaVu Sans"/>
            <w14:uncheckedState w14:val="2610" w14:font="DejaVu Sans"/>
          </w14:checkbox>
        </w:sdtPr>
        <w:sdtContent>
          <w:r>
            <w:rPr>
              <w:rFonts w:ascii="DejaVu Sans" w:hAnsi="DejaVu Sans"/>
            </w:rPr>
            <w:t>☐</w:t>
          </w:r>
        </w:sdtContent>
      </w:sdt>
      <w:r>
        <w:rPr>
          <w:b/>
        </w:rPr>
        <w:t xml:space="preserve">  Resolve applicability</w:t>
      </w:r>
    </w:p>
    <w:p>
      <w:r>
        <w:rPr>
          <w:b w:val="0"/>
        </w:rPr>
        <w:t>Record the relevant minimum-necessary rule or exception without treating all clinician AI use alike.</w:t>
      </w:r>
    </w:p>
    <w:p>
      <w:pPr>
        <w:keepNext/>
        <w:spacing w:before="200" w:after="60"/>
      </w:pPr>
      <w:sdt>
        <w:sdtPr>
          <w:tag w:val="aona-check:fields"/>
          <w:id w:val="102"/>
          <w14:checkbox>
            <w14:checked w14:val="0"/>
            <w14:checkedState w14:val="2612" w14:font="DejaVu Sans"/>
            <w14:uncheckedState w14:val="2610" w14:font="DejaVu Sans"/>
          </w14:checkbox>
        </w:sdtPr>
        <w:sdtContent>
          <w:r>
            <w:rPr>
              <w:rFonts w:ascii="DejaVu Sans" w:hAnsi="DejaVu Sans"/>
            </w:rPr>
            <w:t>☐</w:t>
          </w:r>
        </w:sdtContent>
      </w:sdt>
      <w:r>
        <w:rPr>
          <w:b/>
        </w:rPr>
        <w:t xml:space="preserve">  Justify included fields</w:t>
      </w:r>
    </w:p>
    <w:p>
      <w:r>
        <w:rPr>
          <w:b w:val="0"/>
        </w:rPr>
        <w:t>For each field, explain what the approved task cannot accomplish without it.</w:t>
      </w:r>
    </w:p>
    <w:p>
      <w:r>
        <w:rPr>
          <w:b w:val="0"/>
        </w:rPr>
        <w:t>Checked items record your review, not a compliance approval or an installed-product test result.</w:t>
      </w:r>
    </w:p>
    <w:p>
      <w:pPr>
        <w:pStyle w:val="Heading2"/>
        <w:keepNext/>
      </w:pPr>
      <w:r>
        <w:t>Notes and next actions</w:t>
      </w:r>
    </w:p>
    <w:p>
      <w:pPr>
        <w:spacing w:after="200"/>
      </w:pPr>
      <w:r>
        <w:rPr>
          <w:b/>
        </w:rPr>
        <w:t xml:space="preserve">Decision and scope: </w:t>
      </w:r>
      <w:r>
        <w:t>_____________________________________________</w:t>
      </w:r>
    </w:p>
    <w:p>
      <w:pPr>
        <w:spacing w:after="200"/>
      </w:pPr>
      <w:r>
        <w:rPr>
          <w:b/>
        </w:rPr>
        <w:t xml:space="preserve">Evidence to collect: </w:t>
      </w:r>
      <w:r>
        <w:t>_____________________________________________</w:t>
      </w:r>
    </w:p>
    <w:p>
      <w:pPr>
        <w:spacing w:after="200"/>
      </w:pPr>
      <w:r>
        <w:rPr>
          <w:b/>
        </w:rPr>
        <w:t xml:space="preserve">Owner and next review date: </w:t>
      </w:r>
      <w:r>
        <w:t>_____________________________________________</w:t>
      </w:r>
    </w:p>
    <w:p>
      <w:pPr>
        <w:pStyle w:val="Heading1"/>
        <w:keepNext/>
      </w:pPr>
      <w:r>
        <w:t>Review matrix</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79"/>
        <w:gridCol w:w="2671"/>
        <w:gridCol w:w="2671"/>
        <w:gridCol w:w="2572"/>
      </w:tblGrid>
      <w:tr>
        <w:trPr>
          <w:tblHeader/>
          <w:cantSplit/>
        </w:trPr>
        <w:tc>
          <w:tcPr>
            <w:tcW w:type="dxa" w:w="1979"/>
            <w:vAlign w:val="center"/>
            <w:tcMar>
              <w:top w:w="100" w:type="dxa"/>
              <w:bottom w:w="100" w:type="dxa"/>
              <w:left w:w="100" w:type="dxa"/>
              <w:right w:w="100" w:type="dxa"/>
            </w:tcMar>
            <w:shd w:fill="F2E8FA"/>
          </w:tcPr>
          <w:p>
            <w:pPr>
              <w:keepNext w:val="0"/>
              <w:spacing w:after="40" w:before="40" w:line="259" w:lineRule="auto"/>
            </w:pPr>
            <w:r>
              <w:rPr>
                <w:b/>
                <w:color w:val="30243A"/>
                <w:sz w:val="19"/>
              </w:rPr>
              <w:t>Task</w:t>
            </w:r>
          </w:p>
        </w:tc>
        <w:tc>
          <w:tcPr>
            <w:tcW w:type="dxa" w:w="2671"/>
            <w:vAlign w:val="center"/>
            <w:tcMar>
              <w:top w:w="100" w:type="dxa"/>
              <w:bottom w:w="100" w:type="dxa"/>
              <w:left w:w="100" w:type="dxa"/>
              <w:right w:w="100" w:type="dxa"/>
            </w:tcMar>
            <w:shd w:fill="F2E8FA"/>
          </w:tcPr>
          <w:p>
            <w:pPr>
              <w:keepNext w:val="0"/>
              <w:spacing w:after="40" w:before="40" w:line="259" w:lineRule="auto"/>
            </w:pPr>
            <w:r>
              <w:rPr>
                <w:b/>
                <w:color w:val="30243A"/>
                <w:sz w:val="19"/>
              </w:rPr>
              <w:t>Keep for the example</w:t>
            </w:r>
          </w:p>
        </w:tc>
        <w:tc>
          <w:tcPr>
            <w:tcW w:type="dxa" w:w="2671"/>
            <w:vAlign w:val="center"/>
            <w:tcMar>
              <w:top w:w="100" w:type="dxa"/>
              <w:bottom w:w="100" w:type="dxa"/>
              <w:left w:w="100" w:type="dxa"/>
              <w:right w:w="100" w:type="dxa"/>
            </w:tcMar>
            <w:shd w:fill="F2E8FA"/>
          </w:tcPr>
          <w:p>
            <w:pPr>
              <w:keepNext w:val="0"/>
              <w:spacing w:after="40" w:before="40" w:line="259" w:lineRule="auto"/>
            </w:pPr>
            <w:r>
              <w:rPr>
                <w:b/>
                <w:color w:val="30243A"/>
                <w:sz w:val="19"/>
              </w:rPr>
              <w:t>Omit or review</w:t>
            </w:r>
          </w:p>
        </w:tc>
        <w:tc>
          <w:tcPr>
            <w:tcW w:type="dxa" w:w="2572"/>
            <w:vAlign w:val="center"/>
            <w:tcMar>
              <w:top w:w="100" w:type="dxa"/>
              <w:bottom w:w="100" w:type="dxa"/>
              <w:left w:w="100" w:type="dxa"/>
              <w:right w:w="100" w:type="dxa"/>
            </w:tcMar>
            <w:shd w:fill="F2E8FA"/>
          </w:tcPr>
          <w:p>
            <w:pPr>
              <w:keepNext w:val="0"/>
              <w:spacing w:after="40" w:before="40" w:line="259" w:lineRule="auto"/>
            </w:pPr>
            <w:r>
              <w:rPr>
                <w:b/>
                <w:color w:val="30243A"/>
                <w:sz w:val="19"/>
              </w:rPr>
              <w:t>Reason</w:t>
            </w:r>
          </w:p>
        </w:tc>
      </w:tr>
      <w:tr>
        <w:trPr>
          <w:cantSplit/>
        </w:trPr>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9"/>
              </w:rPr>
              <w:t>Rewrite a generic appointment reminder</w:t>
            </w:r>
          </w:p>
        </w:tc>
        <w:tc>
          <w:tcPr>
            <w:tcW w:type="dxa" w:w="2671"/>
            <w:vAlign w:val="center"/>
            <w:tcMar>
              <w:top w:w="100" w:type="dxa"/>
              <w:bottom w:w="100" w:type="dxa"/>
              <w:left w:w="100" w:type="dxa"/>
              <w:right w:w="100" w:type="dxa"/>
            </w:tcMar>
          </w:tcPr>
          <w:p>
            <w:pPr>
              <w:keepNext w:val="0"/>
              <w:spacing w:after="40" w:before="40" w:line="259" w:lineRule="auto"/>
            </w:pPr>
            <w:r>
              <w:rPr>
                <w:b w:val="0"/>
                <w:color w:val="30243A"/>
                <w:sz w:val="19"/>
              </w:rPr>
              <w:t>Clinic’s public contact instructions and neutral wording.</w:t>
            </w:r>
          </w:p>
        </w:tc>
        <w:tc>
          <w:tcPr>
            <w:tcW w:type="dxa" w:w="2671"/>
            <w:vAlign w:val="center"/>
            <w:tcMar>
              <w:top w:w="100" w:type="dxa"/>
              <w:bottom w:w="100" w:type="dxa"/>
              <w:left w:w="100" w:type="dxa"/>
              <w:right w:w="100" w:type="dxa"/>
            </w:tcMar>
          </w:tcPr>
          <w:p>
            <w:pPr>
              <w:keepNext w:val="0"/>
              <w:spacing w:after="40" w:before="40" w:line="259" w:lineRule="auto"/>
            </w:pPr>
            <w:r>
              <w:rPr>
                <w:b w:val="0"/>
                <w:color w:val="30243A"/>
                <w:sz w:val="19"/>
              </w:rPr>
              <w:t>Names, booking date, diagnosis and patient list.</w:t>
            </w:r>
          </w:p>
        </w:tc>
        <w:tc>
          <w:tcPr>
            <w:tcW w:type="dxa" w:w="2572"/>
            <w:vAlign w:val="center"/>
            <w:tcMar>
              <w:top w:w="100" w:type="dxa"/>
              <w:bottom w:w="100" w:type="dxa"/>
              <w:left w:w="100" w:type="dxa"/>
              <w:right w:w="100" w:type="dxa"/>
            </w:tcMar>
          </w:tcPr>
          <w:p>
            <w:pPr>
              <w:keepNext w:val="0"/>
              <w:spacing w:after="40" w:before="40" w:line="259" w:lineRule="auto"/>
            </w:pPr>
            <w:r>
              <w:rPr>
                <w:b w:val="0"/>
                <w:color w:val="30243A"/>
                <w:sz w:val="19"/>
              </w:rPr>
              <w:t>The wording task can be completed without an individual’s record.</w:t>
            </w:r>
          </w:p>
        </w:tc>
      </w:tr>
      <w:tr>
        <w:trPr>
          <w:cantSplit/>
        </w:trPr>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9"/>
              </w:rPr>
              <w:t>Explain an approved payment exception</w:t>
            </w:r>
          </w:p>
        </w:tc>
        <w:tc>
          <w:tcPr>
            <w:tcW w:type="dxa" w:w="2671"/>
            <w:vAlign w:val="center"/>
            <w:tcMar>
              <w:top w:w="100" w:type="dxa"/>
              <w:bottom w:w="100" w:type="dxa"/>
              <w:left w:w="100" w:type="dxa"/>
              <w:right w:w="100" w:type="dxa"/>
            </w:tcMar>
            <w:shd w:fill="FAF7FC"/>
          </w:tcPr>
          <w:p>
            <w:pPr>
              <w:keepNext w:val="0"/>
              <w:spacing w:after="40" w:before="40" w:line="259" w:lineRule="auto"/>
            </w:pPr>
            <w:r>
              <w:rPr>
                <w:b w:val="0"/>
                <w:color w:val="30243A"/>
                <w:sz w:val="19"/>
              </w:rPr>
              <w:t>Only the transaction facts needed for the defined question.</w:t>
            </w:r>
          </w:p>
        </w:tc>
        <w:tc>
          <w:tcPr>
            <w:tcW w:type="dxa" w:w="2671"/>
            <w:vAlign w:val="center"/>
            <w:tcMar>
              <w:top w:w="100" w:type="dxa"/>
              <w:bottom w:w="100" w:type="dxa"/>
              <w:left w:w="100" w:type="dxa"/>
              <w:right w:w="100" w:type="dxa"/>
            </w:tcMar>
            <w:shd w:fill="FAF7FC"/>
          </w:tcPr>
          <w:p>
            <w:pPr>
              <w:keepNext w:val="0"/>
              <w:spacing w:after="40" w:before="40" w:line="259" w:lineRule="auto"/>
            </w:pPr>
            <w:r>
              <w:rPr>
                <w:b w:val="0"/>
                <w:color w:val="30243A"/>
                <w:sz w:val="19"/>
              </w:rPr>
              <w:t>Unrelated diagnoses, other patients and complete chart.</w:t>
            </w:r>
          </w:p>
        </w:tc>
        <w:tc>
          <w:tcPr>
            <w:tcW w:type="dxa" w:w="2572"/>
            <w:vAlign w:val="center"/>
            <w:tcMar>
              <w:top w:w="100" w:type="dxa"/>
              <w:bottom w:w="100" w:type="dxa"/>
              <w:left w:w="100" w:type="dxa"/>
              <w:right w:w="100" w:type="dxa"/>
            </w:tcMar>
            <w:shd w:fill="FAF7FC"/>
          </w:tcPr>
          <w:p>
            <w:pPr>
              <w:keepNext w:val="0"/>
              <w:spacing w:after="40" w:before="40" w:line="259" w:lineRule="auto"/>
            </w:pPr>
            <w:r>
              <w:rPr>
                <w:b w:val="0"/>
                <w:color w:val="30243A"/>
                <w:sz w:val="19"/>
              </w:rPr>
              <w:t>A billing question does not justify unrelated clinical context.</w:t>
            </w:r>
          </w:p>
        </w:tc>
      </w:tr>
      <w:tr>
        <w:trPr>
          <w:cantSplit/>
        </w:trPr>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9"/>
              </w:rPr>
              <w:t>Review an unusual disclosure request</w:t>
            </w:r>
          </w:p>
        </w:tc>
        <w:tc>
          <w:tcPr>
            <w:tcW w:type="dxa" w:w="2671"/>
            <w:vAlign w:val="center"/>
            <w:tcMar>
              <w:top w:w="100" w:type="dxa"/>
              <w:bottom w:w="100" w:type="dxa"/>
              <w:left w:w="100" w:type="dxa"/>
              <w:right w:w="100" w:type="dxa"/>
            </w:tcMar>
          </w:tcPr>
          <w:p>
            <w:pPr>
              <w:keepNext w:val="0"/>
              <w:spacing w:after="40" w:before="40" w:line="259" w:lineRule="auto"/>
            </w:pPr>
            <w:r>
              <w:rPr>
                <w:b w:val="0"/>
                <w:color w:val="30243A"/>
                <w:sz w:val="19"/>
              </w:rPr>
              <w:t>Purpose, recipient and a proposed field list for internal review.</w:t>
            </w:r>
          </w:p>
        </w:tc>
        <w:tc>
          <w:tcPr>
            <w:tcW w:type="dxa" w:w="2671"/>
            <w:vAlign w:val="center"/>
            <w:tcMar>
              <w:top w:w="100" w:type="dxa"/>
              <w:bottom w:w="100" w:type="dxa"/>
              <w:left w:w="100" w:type="dxa"/>
              <w:right w:w="100" w:type="dxa"/>
            </w:tcMar>
          </w:tcPr>
          <w:p>
            <w:pPr>
              <w:keepNext w:val="0"/>
              <w:spacing w:after="40" w:before="40" w:line="259" w:lineRule="auto"/>
            </w:pPr>
            <w:r>
              <w:rPr>
                <w:b w:val="0"/>
                <w:color w:val="30243A"/>
                <w:sz w:val="19"/>
              </w:rPr>
              <w:t>Do not upload the full record while the criteria are unresolved.</w:t>
            </w:r>
          </w:p>
        </w:tc>
        <w:tc>
          <w:tcPr>
            <w:tcW w:type="dxa" w:w="2572"/>
            <w:vAlign w:val="center"/>
            <w:tcMar>
              <w:top w:w="100" w:type="dxa"/>
              <w:bottom w:w="100" w:type="dxa"/>
              <w:left w:w="100" w:type="dxa"/>
              <w:right w:w="100" w:type="dxa"/>
            </w:tcMar>
          </w:tcPr>
          <w:p>
            <w:pPr>
              <w:keepNext w:val="0"/>
              <w:spacing w:after="40" w:before="40" w:line="259" w:lineRule="auto"/>
            </w:pPr>
            <w:r>
              <w:rPr>
                <w:b w:val="0"/>
                <w:color w:val="30243A"/>
                <w:sz w:val="19"/>
              </w:rPr>
              <w:t>Non-routine requests need the organisation’s individual review.</w:t>
            </w:r>
          </w:p>
        </w:tc>
      </w:tr>
      <w:tr>
        <w:trPr>
          <w:cantSplit/>
        </w:trPr>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9"/>
              </w:rPr>
              <w:t>New attachment added to a routine task</w:t>
            </w:r>
          </w:p>
        </w:tc>
        <w:tc>
          <w:tcPr>
            <w:tcW w:type="dxa" w:w="2671"/>
            <w:vAlign w:val="center"/>
            <w:tcMar>
              <w:top w:w="100" w:type="dxa"/>
              <w:bottom w:w="100" w:type="dxa"/>
              <w:left w:w="100" w:type="dxa"/>
              <w:right w:w="100" w:type="dxa"/>
            </w:tcMar>
            <w:shd w:fill="FAF7FC"/>
          </w:tcPr>
          <w:p>
            <w:pPr>
              <w:keepNext w:val="0"/>
              <w:spacing w:after="40" w:before="40" w:line="259" w:lineRule="auto"/>
            </w:pPr>
            <w:r>
              <w:rPr>
                <w:b w:val="0"/>
                <w:color w:val="30243A"/>
                <w:sz w:val="19"/>
              </w:rPr>
              <w:t>Recheck that attachment against the protocol.</w:t>
            </w:r>
          </w:p>
        </w:tc>
        <w:tc>
          <w:tcPr>
            <w:tcW w:type="dxa" w:w="2671"/>
            <w:vAlign w:val="center"/>
            <w:tcMar>
              <w:top w:w="100" w:type="dxa"/>
              <w:bottom w:w="100" w:type="dxa"/>
              <w:left w:w="100" w:type="dxa"/>
              <w:right w:w="100" w:type="dxa"/>
            </w:tcMar>
            <w:shd w:fill="FAF7FC"/>
          </w:tcPr>
          <w:p>
            <w:pPr>
              <w:keepNext w:val="0"/>
              <w:spacing w:after="40" w:before="40" w:line="259" w:lineRule="auto"/>
            </w:pPr>
            <w:r>
              <w:rPr>
                <w:b w:val="0"/>
                <w:color w:val="30243A"/>
                <w:sz w:val="19"/>
              </w:rPr>
              <w:t>Hidden or unrelated rows, comments and extra records.</w:t>
            </w:r>
          </w:p>
        </w:tc>
        <w:tc>
          <w:tcPr>
            <w:tcW w:type="dxa" w:w="2572"/>
            <w:vAlign w:val="center"/>
            <w:tcMar>
              <w:top w:w="100" w:type="dxa"/>
              <w:bottom w:w="100" w:type="dxa"/>
              <w:left w:w="100" w:type="dxa"/>
              <w:right w:w="100" w:type="dxa"/>
            </w:tcMar>
            <w:shd w:fill="FAF7FC"/>
          </w:tcPr>
          <w:p>
            <w:pPr>
              <w:keepNext w:val="0"/>
              <w:spacing w:after="40" w:before="40" w:line="259" w:lineRule="auto"/>
            </w:pPr>
            <w:r>
              <w:rPr>
                <w:b w:val="0"/>
                <w:color w:val="30243A"/>
                <w:sz w:val="19"/>
              </w:rPr>
              <w:t>The protocol applies to what is actually sent, not only the prompt title.</w:t>
            </w:r>
          </w:p>
        </w:tc>
      </w:tr>
    </w:tbl>
    <w:p>
      <w:pPr>
        <w:spacing w:after="0" w:line="80" w:lineRule="exact"/>
      </w:pPr>
      <w:r>
        <w:rPr>
          <w:sz w:val="2"/>
        </w:rPr>
      </w:r>
    </w:p>
    <w:p>
      <w:pPr>
        <w:pStyle w:val="Heading1"/>
        <w:keepNext/>
      </w:pPr>
      <w:r>
        <w:t>A smaller input starts earlier</w:t>
      </w:r>
    </w:p>
    <w:p>
      <w:pPr>
        <w:pStyle w:val="ListBullet"/>
      </w:pPr>
      <w:r>
        <w:rPr>
          <w:b/>
        </w:rPr>
        <w:t xml:space="preserve">Purpose: </w:t>
      </w:r>
      <w:r>
        <w:t>Improve reminder wording</w:t>
      </w:r>
    </w:p>
    <w:p>
      <w:pPr>
        <w:pStyle w:val="ListBullet"/>
      </w:pPr>
      <w:r>
        <w:rPr>
          <w:b/>
        </w:rPr>
        <w:t xml:space="preserve">Necessary context: </w:t>
      </w:r>
      <w:r>
        <w:t>Public reception instructions</w:t>
      </w:r>
    </w:p>
    <w:p>
      <w:pPr>
        <w:pStyle w:val="ListBullet"/>
      </w:pPr>
      <w:r>
        <w:rPr>
          <w:b/>
        </w:rPr>
        <w:t xml:space="preserve">Omitted: </w:t>
      </w:r>
      <w:r>
        <w:t>Patient identity, diagnosis and booking export</w:t>
      </w:r>
    </w:p>
    <w:p>
      <w:pPr>
        <w:pStyle w:val="Heading3"/>
        <w:keepNext/>
      </w:pPr>
      <w:r>
        <w:t>Safe reminder fixture</w:t>
      </w:r>
    </w:p>
    <w:p>
      <w:r>
        <w:rPr>
          <w:b w:val="0"/>
        </w:rPr>
        <w:t>Please improve this generic wording: “Contact the clinic reception team if you need to discuss a booking.” Preserve the meaning and do not invent patient details.</w:t>
      </w:r>
    </w:p>
    <w:p>
      <w:pPr>
        <w:pStyle w:val="Heading3"/>
        <w:keepNext/>
      </w:pPr>
      <w:r>
        <w:t>Example decision</w:t>
      </w:r>
    </w:p>
    <w:p>
      <w:r>
        <w:rPr>
          <w:b w:val="0"/>
        </w:rPr>
        <w:t>The wording task needs no patient list. Use the generic fixture. This example does not establish approval of any external AI service. For a real case, retain the applicable protocol and accountable decision.</w:t>
      </w:r>
    </w:p>
    <w:p>
      <w:pPr>
        <w:pStyle w:val="Heading1"/>
        <w:keepNext/>
      </w:pPr>
      <w:r>
        <w:t>Sources and scope</w:t>
      </w:r>
    </w:p>
    <w:p>
      <w:pPr>
        <w:pStyle w:val="SourceNote"/>
        <w:keepNext/>
      </w:pPr>
      <w:r>
        <w:rPr>
          <w:b w:val="0"/>
        </w:rPr>
        <w:t>Sources checked 2026-09-21. Review the current requirements and your actual agreement before using this workbook for a real decision. General information; no professional approval or installed-product result is represented. It does not decide HIPAA exceptions, permitted disclosures or the clinical necessity of a field.</w:t>
      </w:r>
    </w:p>
    <w:p>
      <w:pPr>
        <w:pStyle w:val="SourceNote"/>
        <w:keepNext/>
      </w:pPr>
      <w:hyperlink r:id="rId12">
        <w:r>
          <w:rPr>
            <w:color w:val="6412A6"/>
            <w:u w:val="single"/>
          </w:rPr>
          <w:t>HHS: Minimum necessary requirement</w:t>
        </w:r>
      </w:hyperlink>
      <w:r>
        <w:t>. Reasonable minimum-necessary measures, exceptions, routine protocols and individual review of non-routine requests.</w:t>
      </w:r>
    </w:p>
    <w:p>
      <w:pPr>
        <w:pStyle w:val="SourceNote"/>
        <w:keepNext w:val="0"/>
      </w:pPr>
      <w:hyperlink r:id="rId13">
        <w:r>
          <w:rPr>
            <w:color w:val="6412A6"/>
            <w:u w:val="single"/>
          </w:rPr>
          <w:t>HHS: Guidance on HIPAA and cloud computing</w:t>
        </w:r>
      </w:hyperlink>
      <w:r>
        <w:t>. Business-associate roles, BAAs, risk analysis and cloud-service safeguards, including providers without decryption keys.</w:t>
      </w:r>
    </w:p>
    <w:sectPr w:rsidR="00FC693F" w:rsidRPr="0006063C" w:rsidSect="00034616">
      <w:footerReference w:type="default" r:id="rId11"/>
      <w:pgSz w:w="11909" w:h="16834"/>
      <w:pgMar w:top="950" w:right="1008" w:bottom="922" w:left="1008"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77" w:val="right"/>
      </w:tabs>
      <w:jc w:val="left"/>
    </w:pPr>
    <w:r>
      <w:rPr>
        <w:color w:val="776381"/>
        <w:sz w:val="16"/>
      </w:rPr>
      <w:t>aona.ai</w:t>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76" w:lineRule="auto"/>
    </w:pPr>
    <w:rPr>
      <w:rFonts w:ascii="Arial" w:hAnsi="Arial"/>
      <w:color w:val="30243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60"/>
      <w:outlineLvl w:val="0"/>
    </w:pPr>
    <w:rPr>
      <w:rFonts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340" w:after="160"/>
      <w:outlineLvl w:val="1"/>
    </w:pPr>
    <w:rPr>
      <w:rFonts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340" w:after="160"/>
      <w:outlineLvl w:val="2"/>
    </w:pPr>
    <w:rPr>
      <w:rFonts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Arial" w:hAnsi="Arial"/>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basedOn w:val="Normal"/>
    <w:pPr>
      <w:spacing w:line="259" w:lineRule="auto" w:after="100"/>
    </w:pPr>
    <w:rPr>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aona.ai/resources/guides/hipaa-minimum-necessary-ai-prompts/" TargetMode="External"/><Relationship Id="rId11" Type="http://schemas.openxmlformats.org/officeDocument/2006/relationships/footer" Target="footer1.xml"/><Relationship Id="rId12" Type="http://schemas.openxmlformats.org/officeDocument/2006/relationships/hyperlink" Target="https://www.hhs.gov/hipaa/for-professionals/privacy/guidance/minimum-necessary-requirement/index.html" TargetMode="External"/><Relationship Id="rId13" Type="http://schemas.openxmlformats.org/officeDocument/2006/relationships/hyperlink" Target="https://www.hhs.gov/hipaa/for-professionals/special-topics/health-information-technology/cloud-computing/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Minimum-data task worksheet</dc:title>
  <dc:subject>HIPAA minimum necessary for AI prompts</dc:subject>
  <dc:creator>Aona</dc:creator>
  <cp:keywords>AI security review workbook</cp:keywords>
  <dc:description>generated by python-docx</dc:description>
  <cp:lastModifiedBy/>
  <cp:revision>1</cp:revision>
  <dcterms:created xsi:type="dcterms:W3CDTF">2026-09-21T00:00:00Z</dcterms:created>
  <dcterms:modified xsi:type="dcterms:W3CDTF">2026-09-21T00:00:00Z</dcterms:modified>
  <cp:category/>
</cp:coreProperties>
</file>