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Part 2 AI disclosure branch map</w:t>
      </w:r>
    </w:p>
    <w:p>
      <w:r>
        <w:rPr>
          <w:b w:val="0"/>
        </w:rPr>
        <w:t>SUD programme privacy officers and healthcare IT teams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Part 2 can add specific protections to substance-use-disorder records. Before an AI disclosure, identify the record’s origin and applicable consent or exception. A general HIPAA BAA does not replace Part 2 analysis, and broad treatment, payment and healthcare-operations consent does not cover separately maintained SUD counselling notes.</w:t>
      </w:r>
    </w:p>
    <w:p>
      <w:r>
        <w:rPr>
          <w:b w:val="0"/>
        </w:rPr>
        <w:t>Follow each yes, no or unknown outcome before a protected record reaches an AI service. A separate fictional worked case is included in the download.</w:t>
      </w:r>
    </w:p>
    <w:p>
      <w:r>
        <w:rPr>
          <w:b w:val="0"/>
        </w:rPr>
        <w:t>General branch logic with a separate synthetic SUD programme case. No real consent, legal decision or provider approval is represented.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origin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Confirm origin and record type</w:t>
      </w:r>
    </w:p>
    <w:p>
      <w:r>
        <w:rPr>
          <w:b w:val="0"/>
        </w:rPr>
        <w:t>Ask the source programme whether Part 2 and the special SUD counselling-note provisions apply.</w:t>
      </w:r>
    </w:p>
    <w:p>
      <w:pPr>
        <w:keepNext/>
        <w:spacing w:before="200" w:after="60"/>
      </w:pPr>
      <w:sdt>
        <w:sdtPr>
          <w:tag w:val="aona-check:consent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Match consent to the use</w:t>
      </w:r>
    </w:p>
    <w:p>
      <w:r>
        <w:rPr>
          <w:b w:val="0"/>
        </w:rPr>
        <w:t>Review the actual permission, scope explanation and any separate-consent requirement.</w:t>
      </w:r>
    </w:p>
    <w:p>
      <w:pPr>
        <w:keepNext/>
        <w:spacing w:before="200" w:after="60"/>
      </w:pPr>
      <w:sdt>
        <w:sdtPr>
          <w:tag w:val="aona-check:recipient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Trace every recipient</w:t>
      </w:r>
    </w:p>
    <w:p>
      <w:r>
        <w:rPr>
          <w:b w:val="0"/>
        </w:rPr>
        <w:t>Include AI services, connected features and processing intermediaries rather than assuming a BAA covers all of them.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9"/>
        <w:gridCol w:w="2671"/>
        <w:gridCol w:w="2671"/>
        <w:gridCol w:w="2572"/>
      </w:tblGrid>
      <w:tr>
        <w:trPr>
          <w:tblHeader/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Question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Finding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Stop or next outcome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Evidence to retain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Part 2 applies to this record and source?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Continue to record-type and permission checks.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the programme and record-origin evidence.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Part 2 applies to this record and source?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Leave this Part 2 branch; assess HIPAA and other applicable duties.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Part 2 finding is not an approval of the AI disclosure.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Part 2 applies to this record and source?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Unknown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Stop the proposed patient-data upload and resolve origin/status.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Ask the source programme or accountable privacy owner.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Separately maintained SUD counselling note?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Assess specific consent; do not rely on broad TPO consent.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Identify the actual note and consent scope.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Separately maintained SUD counselling note?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Assess the permission applicable to the ordinary Part 2 record.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actual consent or an applicable exception for this use.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Record type or consent/exception established?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Unknown or unresolved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Stop the proposed upload until the applicable permission is established.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 BAA or tool label does not resolve this branch.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Applicable consent or exception established?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Continue to recipient, disclosure-scope and other safeguards review.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Include the consent copy or clear scope explanation where required.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Recipient and remaining conditions reviewed?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 or unknown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Stop the proposed disclosure on this route; resolve the missing conditions.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Map the AI service, connected recipients and applicable agreements.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Recipient and remaining conditions reviewed?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Yes</w:t>
            </w:r>
          </w:p>
        </w:tc>
        <w:tc>
          <w:tcPr>
            <w:tcW w:type="dxa" w:w="2671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The accountable owner can record the scoped decision.</w:t>
            </w:r>
          </w:p>
        </w:tc>
        <w:tc>
          <w:tcPr>
            <w:tcW w:type="dxa" w:w="2572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This table does not itself grant legal permission or product approval.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An unknown answer changes the route</w:t>
      </w:r>
    </w:p>
    <w:p>
      <w:pPr>
        <w:pStyle w:val="ListBullet"/>
      </w:pPr>
      <w:r>
        <w:rPr>
          <w:b/>
        </w:rPr>
        <w:t xml:space="preserve">Scope: </w:t>
      </w:r>
      <w:r>
        <w:t>Yes: continue. No: review other duties. Unknown: stop and resolve.</w:t>
      </w:r>
    </w:p>
    <w:p>
      <w:pPr>
        <w:pStyle w:val="ListBullet"/>
      </w:pPr>
      <w:r>
        <w:rPr>
          <w:b/>
        </w:rPr>
        <w:t xml:space="preserve">Record type: </w:t>
      </w:r>
      <w:r>
        <w:t>Separate counselling note: specific consent. Ordinary record: applicable permission.</w:t>
      </w:r>
    </w:p>
    <w:p>
      <w:pPr>
        <w:pStyle w:val="ListBullet"/>
      </w:pPr>
      <w:r>
        <w:rPr>
          <w:b/>
        </w:rPr>
        <w:t xml:space="preserve">Permission: </w:t>
      </w:r>
      <w:r>
        <w:t>Established: review recipients. Unresolved: stop the upload.</w:t>
      </w:r>
    </w:p>
    <w:p>
      <w:pPr>
        <w:pStyle w:val="ListBullet"/>
      </w:pPr>
      <w:r>
        <w:rPr>
          <w:b/>
        </w:rPr>
        <w:t xml:space="preserve">Recipient: </w:t>
      </w:r>
      <w:r>
        <w:t>Complete: accountable decision. Incomplete: resolve before disclosure.</w:t>
      </w:r>
    </w:p>
    <w:p>
      <w:pPr>
        <w:pStyle w:val="Heading3"/>
        <w:keepNext/>
      </w:pPr>
      <w:r>
        <w:t>Separate fictional worked case</w:t>
      </w:r>
    </w:p>
    <w:p>
      <w:r>
        <w:rPr>
          <w:b w:val="0"/>
        </w:rPr>
        <w:t>The following example is separate from the conditional branch map. It does not establish a real patient consent or legal decision.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Decision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Invented case finding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Next action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Does Part 2 apply?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The source owner identifies a fictional record as protected Part 2 material.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Use the Part 2 review path; document actual origin in a real case.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Is it a separately maintained SUD counselling note?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One attachment contains a clinician’s separately kept session analysis.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Do not rely on broad TPO consent for that attachment; assess specific consent.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What consent covers the ordinary record?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A TPO consent exists in the scenario, but the proposed recipient is not yet reviewed.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Check its scope and applicable disclosure/redisclosure conditions.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Who receives the AI input?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External AI service and its connected feature are proposed.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Map each recipient and its role, agreements and permitted use.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Could the task use no patient record?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Staff only need generic reception wording.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Use invented context and keep the protected records out of that task.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Can the real disclosure proceed?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Required consent and recipient questions remain open in the exercise.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Obtain the accountable review; the worksheet does not authorise disclosure.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3"/>
        <w:keepNext/>
      </w:pPr>
      <w:r>
        <w:t>Safe alternative prompt</w:t>
      </w:r>
    </w:p>
    <w:p>
      <w:r>
        <w:rPr>
          <w:b w:val="0"/>
        </w:rPr>
        <w:t>Invented exercise: Write a general reception message about contacting a service team for administrative questions. Include no patient, SUD diagnosis, treatment history or counselling note.</w:t>
      </w:r>
    </w:p>
    <w:p>
      <w:r>
        <w:rPr>
          <w:b w:val="0"/>
        </w:rPr>
        <w:t>HHS fact sheet updated 30 January 2026; applicable compliance date 16 February 2026.</w:t>
      </w:r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SUD means substance use disorder. TPO means treatment, payment and healthcare operations.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General information, not professional approval or a completed control test. It does not determine Part 2 status, validate patient consent or provide a legal authorisation to disclose.</w:t>
      </w:r>
    </w:p>
    <w:p>
      <w:pPr>
        <w:pStyle w:val="SourceNote"/>
        <w:keepNext/>
      </w:pPr>
      <w:hyperlink r:id="rId12">
        <w:r>
          <w:rPr>
            <w:color w:val="6412A6"/>
            <w:u w:val="single"/>
          </w:rPr>
          <w:t>HHS: 42 CFR Part 2 final rule fact sheet</w:t>
        </w:r>
      </w:hyperlink>
      <w:r>
        <w:t>. Part 2 applicability, consent and redisclosure changes, separate SUD counselling notes and the 16 February 2026 compliance date; fact sheet updated 30 January 2026.</w:t>
      </w:r>
    </w:p>
    <w:p>
      <w:pPr>
        <w:pStyle w:val="SourceNote"/>
        <w:keepNext w:val="0"/>
      </w:pPr>
      <w:hyperlink r:id="rId13">
        <w:r>
          <w:rPr>
            <w:color w:val="6412A6"/>
            <w:u w:val="single"/>
          </w:rPr>
          <w:t>HHS: Guidance on HIPAA and cloud computing</w:t>
        </w:r>
      </w:hyperlink>
      <w:r>
        <w:t>. Business-associate roles, BAAs, risk analysis and cloud-service safeguards, including providers without decryption keys.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42-cfr-part-2-ai-records-consent/" TargetMode="External"/><Relationship Id="rId11" Type="http://schemas.openxmlformats.org/officeDocument/2006/relationships/footer" Target="footer1.xml"/><Relationship Id="rId12" Type="http://schemas.openxmlformats.org/officeDocument/2006/relationships/hyperlink" Target="https://www.hhs.gov/hipaa/for-professionals/regulatory-initiatives/fact-sheet-42-cfr-part-2-final-rule/index.html" TargetMode="External"/><Relationship Id="rId13" Type="http://schemas.openxmlformats.org/officeDocument/2006/relationships/hyperlink" Target="https://www.hhs.gov/hipaa/for-professionals/special-topics/health-information-technology/cloud-computing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2 AI disclosure branch map</dc:title>
  <dc:subject>42 CFR Part 2: AI records and consent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