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Sensitive-data input decision map</w:t>
      </w:r>
    </w:p>
    <w:p>
      <w:r>
        <w:rPr>
          <w:b w:val="0"/>
        </w:rPr>
        <w:t>DPOs, HR privacy teams and security owners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Special-category data needs both an Article 6 lawful basis and an applicable Article 9 condition, alongside the other GDPR requirements. An approved AI account, a DPA or ordinary redaction does not supply those grounds. First ask whether the task needs the sensitive information at all.</w:t>
      </w:r>
    </w:p>
    <w:p>
      <w:r>
        <w:rPr>
          <w:b w:val="0"/>
        </w:rPr>
        <w:t>Invented workplace tasks separate purpose, data category and the additional Article 9 question, with a distinct Article 10 example.</w:t>
      </w:r>
    </w:p>
    <w:p>
      <w:r>
        <w:rPr>
          <w:b w:val="0"/>
        </w:rPr>
        <w:t>Synthetic employee information and proposed tasks. No actual lawful basis, consent or legal approval is established.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need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Question the sensitive detail</w:t>
      </w:r>
    </w:p>
    <w:p>
      <w:r>
        <w:rPr>
          <w:b w:val="0"/>
        </w:rPr>
        <w:t>Identify whether an invented example or general description achieves the purpose without the personal record.</w:t>
      </w:r>
    </w:p>
    <w:p>
      <w:pPr>
        <w:keepNext/>
        <w:spacing w:before="200" w:after="60"/>
      </w:pPr>
      <w:sdt>
        <w:sdtPr>
          <w:tag w:val="aona-check:grounds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both legal layers</w:t>
      </w:r>
    </w:p>
    <w:p>
      <w:r>
        <w:rPr>
          <w:b w:val="0"/>
        </w:rPr>
        <w:t>Document the Article 6 lawful basis. For special-category data, also record the applicable Article 9 condition. For criminal-conviction data, also record the separate Article 10 requirements. Include relevant national-law requirements.</w:t>
      </w:r>
    </w:p>
    <w:p>
      <w:pPr>
        <w:keepNext/>
        <w:spacing w:before="200" w:after="60"/>
      </w:pPr>
      <w:sdt>
        <w:sdtPr>
          <w:tag w:val="aona-check:path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Review the real destination</w:t>
      </w:r>
    </w:p>
    <w:p>
      <w:r>
        <w:rPr>
          <w:b w:val="0"/>
        </w:rPr>
        <w:t>Assess role, instructions, transfers, retention, recipient access and the need for a DPIA.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Proposed input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Category and issue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Decision in the exercise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“Rewrite our generic sick-leave policy.”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 general policy can be discussed without anyone’s health record.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invented context; do not attach employee diagnoses.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“Explain this named employee’s diagnosis to their manager.”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Health data; purpose, necessity, recipients and Article 6/9 grounds require review.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use the real record in this exercise; escalate the specific disclosure.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 named list of union subscriptions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Trade-union membership is special-category data.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infer permission from payroll access; assess the particular purpose and legal condition.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Face images proposed for identity matching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Biometric processing for unique identification can bring Article 9 into scope.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Assess the actual processing and safeguards; a generic photo label is insufficient.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 report about a criminal conviction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Article 10 has separate conditions.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Route for the applicable criminal-offence-data review rather than assuming Article 9 alone resolves it.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The decision before the upload</w:t>
      </w:r>
    </w:p>
    <w:p>
      <w:pPr>
        <w:pStyle w:val="ListBullet"/>
      </w:pPr>
      <w:r>
        <w:rPr>
          <w:b/>
        </w:rPr>
        <w:t xml:space="preserve">Need: </w:t>
      </w:r>
      <w:r>
        <w:t>Does the task require this personal detail?</w:t>
      </w:r>
    </w:p>
    <w:p>
      <w:pPr>
        <w:pStyle w:val="ListBullet"/>
      </w:pPr>
      <w:r>
        <w:rPr>
          <w:b/>
        </w:rPr>
        <w:t xml:space="preserve">Grounds: </w:t>
      </w:r>
      <w:r>
        <w:t>Article 6 basis, plus Article 9 or Article 10 as applicable</w:t>
      </w:r>
    </w:p>
    <w:p>
      <w:pPr>
        <w:pStyle w:val="ListBullet"/>
      </w:pPr>
      <w:r>
        <w:rPr>
          <w:b/>
        </w:rPr>
        <w:t xml:space="preserve">Safeguards: </w:t>
      </w:r>
      <w:r>
        <w:t>Recipient, contract, transfers and risk</w:t>
      </w:r>
    </w:p>
    <w:p>
      <w:pPr>
        <w:pStyle w:val="ListBullet"/>
      </w:pPr>
      <w:r>
        <w:rPr>
          <w:b/>
        </w:rPr>
        <w:t xml:space="preserve">Instruction: </w:t>
      </w:r>
      <w:r>
        <w:t>A scoped rule staff can follow</w:t>
      </w:r>
    </w:p>
    <w:p>
      <w:pPr>
        <w:pStyle w:val="Heading3"/>
        <w:keepNext/>
      </w:pPr>
      <w:r>
        <w:t>Safe comparison fixture</w:t>
      </w:r>
    </w:p>
    <w:p>
      <w:r>
        <w:rPr>
          <w:b w:val="0"/>
        </w:rPr>
        <w:t>General version: “Suggest clear wording for a workplace policy explaining how employees can request an adjustment.”</w:t>
      </w:r>
    </w:p>
    <w:p>
      <w:r>
        <w:rPr>
          <w:b w:val="0"/>
        </w:rPr>
        <w:t>Over-detailed synthetic version: “Taylor Example, our only night-shift supervisor, has the fictional condition Example Syndrome. Explain their adjustment request to the manager.”</w:t>
      </w:r>
    </w:p>
    <w:p>
      <w:r>
        <w:rPr>
          <w:b w:val="0"/>
        </w:rPr>
        <w:t>Use invented material only. The second version illustrates contextual identifiability; it is not a real employee record or a finding that a particular legal condition applies.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information; no professional approval or installed-product result is represented. It does not choose a lawful basis, validate consent, make the Article 9 decision or guarantee anonymisation.</w:t>
      </w:r>
    </w:p>
    <w:p>
      <w:pPr>
        <w:pStyle w:val="SourceNote"/>
        <w:keepNext w:val="0"/>
      </w:pPr>
      <w:hyperlink r:id="rId12">
        <w:r>
          <w:rPr>
            <w:color w:val="6412A6"/>
            <w:u w:val="single"/>
          </w:rPr>
          <w:t>EU GDPR: Regulation (EU) 2016/679</w:t>
        </w:r>
      </w:hyperlink>
      <w:r>
        <w:t>. Articles 5, 6, 9, 10, 12, 17, 19, 28, 32, 35 and 36 establish the relevant processing, rights, processor and risk-assessment requirements.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gdpr-special-category-data-ai-prompts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eur-lex.europa.eu/eli/reg/2016/679/oj/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Sensitive-data input decision map</dc:title>
  <dc:subject>Special-category data in AI prompts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