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AI erasure request evidence map</w:t>
      </w:r>
    </w:p>
    <w:p>
      <w:r>
        <w:rPr>
          <w:b w:val="0"/>
        </w:rPr>
        <w:t>DPOs, privacy operations and AI workspace administrators</w:t>
      </w:r>
    </w:p>
    <w:p>
      <w:pPr>
        <w:spacing w:after="280"/>
      </w:pPr>
      <w:hyperlink r:id="rId10">
        <w:r>
          <w:rPr>
            <w:color w:val="6412A6"/>
            <w:u w:val="single"/>
          </w:rPr>
          <w:t>Read the complete guide on aona.ai</w:t>
        </w:r>
      </w:hyperlink>
    </w:p>
    <w:p>
      <w:r>
        <w:rPr>
          <w:b w:val="0"/>
        </w:rPr>
        <w:t>Treat an erasure request as a decision across records, not one delete button. Establish the requester’s rights and applicable exceptions, locate relevant copies, instruct the right service owners and document what was deleted or retained. Deleting a ChatGPT conversation does not necessarily remove other stored material.</w:t>
      </w:r>
    </w:p>
    <w:p>
      <w:r>
        <w:rPr>
          <w:b w:val="0"/>
        </w:rPr>
        <w:t>An invented requester’s information appears in a support record and several AI-related copies. Each row identifies a distinct action and the evidence needed.</w:t>
      </w:r>
    </w:p>
    <w:p>
      <w:r>
        <w:rPr>
          <w:b w:val="0"/>
        </w:rPr>
        <w:t>Synthetic request ERASURE-TEST-01. No live data has been searched, deleted, retained under a legal hold or sent to a provider.</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locate"/>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Map all relevant copies</w:t>
      </w:r>
    </w:p>
    <w:p>
      <w:r>
        <w:rPr>
          <w:b w:val="0"/>
        </w:rPr>
        <w:t>Use the actual account, surface, feature and saved locations rather than assuming one conversation contains everything.</w:t>
      </w:r>
    </w:p>
    <w:p>
      <w:pPr>
        <w:keepNext/>
        <w:spacing w:before="200" w:after="60"/>
      </w:pPr>
      <w:sdt>
        <w:sdtPr>
          <w:tag w:val="aona-check:decide"/>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Separate legal and technical status</w:t>
      </w:r>
    </w:p>
    <w:p>
      <w:r>
        <w:rPr>
          <w:b w:val="0"/>
        </w:rPr>
        <w:t>Record the erasure decision, any justified exception and whether the action is requested, completed or scheduled.</w:t>
      </w:r>
    </w:p>
    <w:p>
      <w:pPr>
        <w:keepNext/>
        <w:spacing w:before="200" w:after="60"/>
      </w:pPr>
      <w:sdt>
        <w:sdtPr>
          <w:tag w:val="aona-check:respond"/>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Reconcile before replying</w:t>
      </w:r>
    </w:p>
    <w:p>
      <w:r>
        <w:rPr>
          <w:b w:val="0"/>
        </w:rPr>
        <w:t>Check recipient communications, provider responses and the Article 12 response timeline.</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Location</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Action to assess</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Evidence and owner</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Original support record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Apply the organisation’s Article 17 decision to the source record.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Privacy decision and source-system action record; support-system owner.</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ChatGPT conversation</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Use the applicable conversation deletion control if erasure is required.</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Correct account/conversation and action confirmation; workspace owner.</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File saved to Library</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Assess and remove the saved file separately where required.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File identity and confirmation; file/workspace owner.</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Project file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Review the project file’s own storage and deletion control.</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File identity and actual action; authorised project user or administrator.</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Saved memory</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Review and remove the saved memory separately where required.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Memory identity and actual action; authorised workspace user or administrator.</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Draft copied into a document</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Assess this separate retained copy.</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Document owner’s confirmation and scope; collaboration-system owner.</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Exported security evidence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Determine necessity, erasure or applicable retention exception.</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Reasoned privacy/legal decision and access restriction; security record owner.</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Request response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Reconcile confirmed actions and explained exceptions.</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Clear response and case record; privacy operations.</w:t>
            </w:r>
          </w:p>
        </w:tc>
      </w:tr>
    </w:tbl>
    <w:p>
      <w:pPr>
        <w:spacing w:after="0" w:line="80" w:lineRule="exact"/>
      </w:pPr>
      <w:r>
        <w:rPr>
          <w:sz w:val="2"/>
        </w:rPr>
      </w:r>
    </w:p>
    <w:p>
      <w:pPr>
        <w:pStyle w:val="Heading1"/>
        <w:keepNext/>
      </w:pPr>
      <w:r>
        <w:t>Follow the copies</w:t>
      </w:r>
    </w:p>
    <w:p>
      <w:pPr>
        <w:pStyle w:val="ListBullet"/>
      </w:pPr>
      <w:r>
        <w:rPr>
          <w:b/>
        </w:rPr>
        <w:t xml:space="preserve">Source: </w:t>
      </w:r>
      <w:r>
        <w:t>Customer record in its original system</w:t>
      </w:r>
    </w:p>
    <w:p>
      <w:pPr>
        <w:pStyle w:val="ListBullet"/>
      </w:pPr>
      <w:r>
        <w:rPr>
          <w:b/>
        </w:rPr>
        <w:t xml:space="preserve">AI: </w:t>
      </w:r>
      <w:r>
        <w:t>Conversation, saved file, project or memory</w:t>
      </w:r>
    </w:p>
    <w:p>
      <w:pPr>
        <w:pStyle w:val="ListBullet"/>
      </w:pPr>
      <w:r>
        <w:rPr>
          <w:b/>
        </w:rPr>
        <w:t xml:space="preserve">Exports: </w:t>
      </w:r>
      <w:r>
        <w:t>Documents and security evidence</w:t>
      </w:r>
    </w:p>
    <w:p>
      <w:pPr>
        <w:pStyle w:val="ListBullet"/>
      </w:pPr>
      <w:r>
        <w:rPr>
          <w:b/>
        </w:rPr>
        <w:t xml:space="preserve">Response: </w:t>
      </w:r>
      <w:r>
        <w:t>Confirmed actions and explained exceptions</w:t>
      </w:r>
    </w:p>
    <w:p>
      <w:pPr>
        <w:pStyle w:val="Heading3"/>
        <w:keepNext/>
      </w:pPr>
      <w:r>
        <w:t>Example case record</w:t>
      </w:r>
    </w:p>
    <w:p>
      <w:r>
        <w:rPr>
          <w:b w:val="0"/>
        </w:rPr>
        <w:t>Reference: ERASURE-TEST-01</w:t>
        <w:br/>
        <w:t>Requester: fictional customer Example Person</w:t>
        <w:br/>
        <w:t>Receipt date: not a real request</w:t>
        <w:br/>
        <w:t>Legal assessment: illustrative only; no live Article 17 determination</w:t>
        <w:br/>
        <w:t>Action status: not performed</w:t>
        <w:br/>
        <w:t>Response: not sent</w:t>
      </w:r>
    </w:p>
    <w:p>
      <w:pPr>
        <w:pStyle w:val="Heading3"/>
        <w:keepNext/>
      </w:pPr>
      <w:r>
        <w:t>Practice response outline</w:t>
      </w:r>
    </w:p>
    <w:p>
      <w:r>
        <w:rPr>
          <w:b w:val="0"/>
        </w:rPr>
        <w:t>Identify the request scope, explain the action actually taken, describe any justified retained records and reasons, and give the relevant rights information. Do not claim every copy was removed when confirmations cover only selected locations.</w:t>
      </w:r>
    </w:p>
    <w:p>
      <w:pPr>
        <w:pStyle w:val="Heading1"/>
        <w:keepNext/>
      </w:pPr>
      <w:r>
        <w:t>Sources and scope</w:t>
      </w:r>
    </w:p>
    <w:p>
      <w:pPr>
        <w:pStyle w:val="SourceNote"/>
        <w:keepNext/>
      </w:pPr>
      <w:r>
        <w:rPr>
          <w:b w:val="0"/>
        </w:rPr>
        <w:t>Sources checked 2026-09-21. Review the current requirements and your actual agreement before using this workbook for a real decision. General information; no professional approval or installed-product result is represented. Aona does not execute erasure requests in third-party services or establish the controller’s Article 17 decision. Its own records need a separate handling review.</w:t>
      </w:r>
    </w:p>
    <w:p>
      <w:pPr>
        <w:pStyle w:val="SourceNote"/>
        <w:keepNext/>
      </w:pPr>
      <w:hyperlink r:id="rId12">
        <w:r>
          <w:rPr>
            <w:color w:val="6412A6"/>
            <w:u w:val="single"/>
          </w:rPr>
          <w:t>EU GDPR: Regulation (EU) 2016/679</w:t>
        </w:r>
      </w:hyperlink>
      <w:r>
        <w:t>. Articles 5, 6, 9, 12, 17, 19, 28, 32, 35 and 36 establish the relevant processing, rights, processor and risk-assessment requirements.</w:t>
      </w:r>
    </w:p>
    <w:p>
      <w:pPr>
        <w:pStyle w:val="SourceNote"/>
        <w:keepNext w:val="0"/>
      </w:pPr>
      <w:hyperlink r:id="rId13">
        <w:r>
          <w:rPr>
            <w:color w:val="6412A6"/>
            <w:u w:val="single"/>
          </w:rPr>
          <w:t>OpenAI: ChatGPT Work Cloud data handling and retention</w:t>
        </w:r>
      </w:hyperlink>
      <w:r>
        <w:t>. Work Cloud conversations, Library files, project files, saved memories, connected content and exported compliance records have distinct retention/deletion behaviours; API ZDR is not a universal ChatGPT Work rule.</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gdpr-ai-chat-deletion-requests/" TargetMode="External"/><Relationship Id="rId11" Type="http://schemas.openxmlformats.org/officeDocument/2006/relationships/footer" Target="footer1.xml"/><Relationship Id="rId12" Type="http://schemas.openxmlformats.org/officeDocument/2006/relationships/hyperlink" Target="https://eur-lex.europa.eu/eli/reg/2016/679/oj/eng" TargetMode="External"/><Relationship Id="rId13" Type="http://schemas.openxmlformats.org/officeDocument/2006/relationships/hyperlink" Target="https://learn.chatgpt.com/docs/enterprise/chatgpt-work-cloud-security#data-handling-and-reten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erasure request evidence map</dc:title>
  <dc:subject>GDPR deletion requests for AI chats and files</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