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80"/>
      </w:pPr>
      <w:r>
        <w:drawing>
          <wp:inline xmlns:a="http://schemas.openxmlformats.org/drawingml/2006/main" xmlns:pic="http://schemas.openxmlformats.org/drawingml/2006/picture">
            <wp:extent cx="987552" cy="289924"/>
            <wp:docPr id="1" name="Picture 1"/>
            <wp:cNvGraphicFramePr>
              <a:graphicFrameLocks noChangeAspect="1"/>
            </wp:cNvGraphicFramePr>
            <a:graphic>
              <a:graphicData uri="http://schemas.openxmlformats.org/drawingml/2006/picture">
                <pic:pic>
                  <pic:nvPicPr>
                    <pic:cNvPr id="0" name="aona-logo-light.png"/>
                    <pic:cNvPicPr/>
                  </pic:nvPicPr>
                  <pic:blipFill>
                    <a:blip r:embed="rId9"/>
                    <a:stretch>
                      <a:fillRect/>
                    </a:stretch>
                  </pic:blipFill>
                  <pic:spPr>
                    <a:xfrm>
                      <a:off x="0" y="0"/>
                      <a:ext cx="987552" cy="289924"/>
                    </a:xfrm>
                    <a:prstGeom prst="rect"/>
                  </pic:spPr>
                </pic:pic>
              </a:graphicData>
            </a:graphic>
          </wp:inline>
        </w:drawing>
      </w:r>
    </w:p>
    <w:p>
      <w:pPr>
        <w:pStyle w:val="Title"/>
      </w:pPr>
      <w:r>
        <w:rPr>
          <w:b w:val="0"/>
        </w:rPr>
        <w:t>Payment-data AI input cases</w:t>
      </w:r>
    </w:p>
    <w:p>
      <w:r>
        <w:rPr>
          <w:b w:val="0"/>
        </w:rPr>
        <w:t>Payment-security teams, PCI programme owners and service-desk leads</w:t>
      </w:r>
    </w:p>
    <w:p>
      <w:pPr>
        <w:spacing w:after="280"/>
      </w:pPr>
      <w:hyperlink r:id="rId10">
        <w:r>
          <w:rPr>
            <w:color w:val="6412A6"/>
            <w:u w:val="single"/>
          </w:rPr>
          <w:t>Read the complete guide on aona.ai</w:t>
        </w:r>
      </w:hyperlink>
    </w:p>
    <w:p>
      <w:r>
        <w:rPr>
          <w:b w:val="0"/>
        </w:rPr>
        <w:t>A full card number and a CVV are not the same data category. PCI DSS treats the PAN as cardholder data and CVVs as sensitive authentication data. For ordinary merchant use, do not put CVVs into retained AI prompts or files after authorisation. Review any card-data processing path and service scope before use.</w:t>
      </w:r>
    </w:p>
    <w:p>
      <w:r>
        <w:rPr>
          <w:b w:val="0"/>
        </w:rPr>
        <w:t>Classify the synthetic payment patterns, then compare the intended handling with an actual authorised control observation.</w:t>
      </w:r>
    </w:p>
    <w:p>
      <w:r>
        <w:rPr>
          <w:b w:val="0"/>
        </w:rPr>
        <w:t>Stripe’s published test number plus invented supporting values. No live cardholder, payment, PCI assessment or product test result is represented.</w:t>
      </w:r>
    </w:p>
    <w:p>
      <w:pPr>
        <w:pStyle w:val="Heading1"/>
        <w:keepNext/>
      </w:pPr>
      <w:r>
        <w:t>Your review</w:t>
      </w:r>
    </w:p>
    <w:p>
      <w:r>
        <w:rPr>
          <w:b w:val="0"/>
        </w:rPr>
        <w:t>Reviewer: ____________________    Date: ____________________</w:t>
      </w:r>
    </w:p>
    <w:p>
      <w:r>
        <w:rPr>
          <w:b w:val="0"/>
        </w:rPr>
        <w:t>Organisation or team: _____________________________________</w:t>
      </w:r>
    </w:p>
    <w:p>
      <w:pPr>
        <w:keepNext/>
        <w:spacing w:before="200" w:after="60"/>
      </w:pPr>
      <w:sdt>
        <w:sdtPr>
          <w:tag w:val="aona-check:category"/>
          <w:id w:val="100"/>
          <w14:checkbox>
            <w14:checked w14:val="0"/>
            <w14:checkedState w14:val="2612" w14:font="DejaVu Sans"/>
            <w14:uncheckedState w14:val="2610" w14:font="DejaVu Sans"/>
          </w14:checkbox>
        </w:sdtPr>
        <w:sdtContent>
          <w:r>
            <w:rPr>
              <w:rFonts w:ascii="DejaVu Sans" w:hAnsi="DejaVu Sans"/>
            </w:rPr>
            <w:t>☐</w:t>
          </w:r>
        </w:sdtContent>
      </w:sdt>
      <w:r>
        <w:rPr>
          <w:b/>
        </w:rPr>
        <w:t xml:space="preserve">  Classify every payment field</w:t>
      </w:r>
    </w:p>
    <w:p>
      <w:r>
        <w:rPr>
          <w:b w:val="0"/>
        </w:rPr>
        <w:t>Separate PAN/cardholder data from CVV, track and PIN information; check attachments as well as the prompt.</w:t>
      </w:r>
    </w:p>
    <w:p>
      <w:pPr>
        <w:keepNext/>
        <w:spacing w:before="200" w:after="60"/>
      </w:pPr>
      <w:sdt>
        <w:sdtPr>
          <w:tag w:val="aona-check:need"/>
          <w:id w:val="101"/>
          <w14:checkbox>
            <w14:checked w14:val="0"/>
            <w14:checkedState w14:val="2612" w14:font="DejaVu Sans"/>
            <w14:uncheckedState w14:val="2610" w14:font="DejaVu Sans"/>
          </w14:checkbox>
        </w:sdtPr>
        <w:sdtContent>
          <w:r>
            <w:rPr>
              <w:rFonts w:ascii="DejaVu Sans" w:hAnsi="DejaVu Sans"/>
            </w:rPr>
            <w:t>☐</w:t>
          </w:r>
        </w:sdtContent>
      </w:sdt>
      <w:r>
        <w:rPr>
          <w:b/>
        </w:rPr>
        <w:t xml:space="preserve">  Remove unnecessary account data</w:t>
      </w:r>
    </w:p>
    <w:p>
      <w:r>
        <w:rPr>
          <w:b w:val="0"/>
        </w:rPr>
        <w:t>Use a generic error, invented example or approved reference when the task does not need payment credentials.</w:t>
      </w:r>
    </w:p>
    <w:p>
      <w:pPr>
        <w:keepNext/>
        <w:spacing w:before="200" w:after="60"/>
      </w:pPr>
      <w:sdt>
        <w:sdtPr>
          <w:tag w:val="aona-check:scope"/>
          <w:id w:val="102"/>
          <w14:checkbox>
            <w14:checked w14:val="0"/>
            <w14:checkedState w14:val="2612" w14:font="DejaVu Sans"/>
            <w14:uncheckedState w14:val="2610" w14:font="DejaVu Sans"/>
          </w14:checkbox>
        </w:sdtPr>
        <w:sdtContent>
          <w:r>
            <w:rPr>
              <w:rFonts w:ascii="DejaVu Sans" w:hAnsi="DejaVu Sans"/>
            </w:rPr>
            <w:t>☐</w:t>
          </w:r>
        </w:sdtContent>
      </w:sdt>
      <w:r>
        <w:rPr>
          <w:b/>
        </w:rPr>
        <w:t xml:space="preserve">  Review the full service path</w:t>
      </w:r>
    </w:p>
    <w:p>
      <w:r>
        <w:rPr>
          <w:b w:val="0"/>
        </w:rPr>
        <w:t>Ask the responsible PCI owner about processing, retention, recipients and assessment scope before using real account data.</w:t>
      </w:r>
    </w:p>
    <w:p>
      <w:r>
        <w:rPr>
          <w:b w:val="0"/>
        </w:rPr>
        <w:t>Checked items record your review, not a compliance approval or an installed-product test result.</w:t>
      </w:r>
    </w:p>
    <w:p>
      <w:pPr>
        <w:pStyle w:val="Heading2"/>
        <w:keepNext/>
      </w:pPr>
      <w:r>
        <w:t>Notes and next actions</w:t>
      </w:r>
    </w:p>
    <w:p>
      <w:pPr>
        <w:spacing w:after="200"/>
      </w:pPr>
      <w:r>
        <w:rPr>
          <w:b/>
        </w:rPr>
        <w:t xml:space="preserve">Decision and scope: </w:t>
      </w:r>
      <w:r>
        <w:t>_____________________________________________</w:t>
      </w:r>
    </w:p>
    <w:p>
      <w:pPr>
        <w:spacing w:after="200"/>
      </w:pPr>
      <w:r>
        <w:rPr>
          <w:b/>
        </w:rPr>
        <w:t xml:space="preserve">Evidence to collect: </w:t>
      </w:r>
      <w:r>
        <w:t>_____________________________________________</w:t>
      </w:r>
    </w:p>
    <w:p>
      <w:pPr>
        <w:spacing w:after="200"/>
      </w:pPr>
      <w:r>
        <w:rPr>
          <w:b/>
        </w:rPr>
        <w:t xml:space="preserve">Owner and next review date: </w:t>
      </w:r>
      <w:r>
        <w:t>_____________________________________________</w:t>
      </w:r>
    </w:p>
    <w:p>
      <w:pPr>
        <w:pStyle w:val="Heading1"/>
        <w:keepNext/>
      </w:pPr>
      <w:r>
        <w:t>Review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73"/>
        <w:gridCol w:w="3710"/>
        <w:gridCol w:w="3710"/>
      </w:tblGrid>
      <w:tr>
        <w:trPr>
          <w:tblHeader/>
          <w:cantSplit/>
        </w:trPr>
        <w:tc>
          <w:tcPr>
            <w:tcW w:type="dxa" w:w="2473"/>
            <w:vAlign w:val="center"/>
            <w:tcMar>
              <w:top w:w="100" w:type="dxa"/>
              <w:bottom w:w="100" w:type="dxa"/>
              <w:left w:w="100" w:type="dxa"/>
              <w:right w:w="100" w:type="dxa"/>
            </w:tcMar>
            <w:shd w:fill="F2E8FA"/>
          </w:tcPr>
          <w:p>
            <w:pPr>
              <w:keepNext w:val="0"/>
              <w:spacing w:after="40" w:before="40" w:line="259" w:lineRule="auto"/>
            </w:pPr>
            <w:r>
              <w:rPr>
                <w:b/>
                <w:color w:val="30243A"/>
                <w:sz w:val="19"/>
              </w:rPr>
              <w:t>Input case</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Data distinction</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Action for this exercise</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4242 4242 4242 4242; Ada Example; 12/34</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Published test PAN with invented associated fields, representing cardholder-data structure.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Check the proposed PAN policy on the selected input path; no observed result is asserted.</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Test verification code 123, after a fictional purchase</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Synthetic representation of sensitive authentication data.</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Expected merchant policy: do not retain the code in an AI support record after authorisation.</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Test verification code 123 without a PAN</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A code’s category does not depend on a PAN being in the same text.</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Check the scoped policy and context; do not treat the separated code as harmless by assumption.</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Displayed card **** **** **** 4242</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A masked display does not establish the underlying transmitted value.</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Inspect the actual payload and retained content in the authorised test.</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“Explain a generic payment error.”</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No account or authentication details are required.</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Use as the reduced-context comparison case.</w:t>
            </w:r>
          </w:p>
        </w:tc>
      </w:tr>
    </w:tbl>
    <w:p>
      <w:pPr>
        <w:spacing w:after="0" w:line="80" w:lineRule="exact"/>
      </w:pPr>
      <w:r>
        <w:rPr>
          <w:sz w:val="2"/>
        </w:rPr>
      </w:r>
    </w:p>
    <w:p>
      <w:pPr>
        <w:pStyle w:val="Heading1"/>
        <w:keepNext/>
      </w:pPr>
      <w:r>
        <w:t>Keep the distinction visible</w:t>
      </w:r>
    </w:p>
    <w:p>
      <w:pPr>
        <w:pStyle w:val="ListBullet"/>
      </w:pPr>
      <w:r>
        <w:rPr>
          <w:b/>
        </w:rPr>
        <w:t xml:space="preserve">Test PAN pattern: </w:t>
      </w:r>
      <w:r>
        <w:t>4242 4242 4242 4242</w:t>
      </w:r>
    </w:p>
    <w:p>
      <w:r>
        <w:rPr>
          <w:b w:val="0"/>
        </w:rPr>
        <w:t>Stripe-published nonproduction card number.</w:t>
      </w:r>
    </w:p>
    <w:p>
      <w:pPr>
        <w:pStyle w:val="ListBullet"/>
      </w:pPr>
      <w:r>
        <w:rPr>
          <w:b/>
        </w:rPr>
        <w:t xml:space="preserve">Test CVV pattern: </w:t>
      </w:r>
      <w:r>
        <w:t>123</w:t>
      </w:r>
    </w:p>
    <w:p>
      <w:r>
        <w:rPr>
          <w:b w:val="0"/>
        </w:rPr>
        <w:t>Invented verification value for the exercise.</w:t>
      </w:r>
    </w:p>
    <w:p>
      <w:pPr>
        <w:pStyle w:val="ListBullet"/>
      </w:pPr>
      <w:r>
        <w:rPr>
          <w:b/>
        </w:rPr>
        <w:t xml:space="preserve">Reduced context: </w:t>
      </w:r>
      <w:r>
        <w:t>A generic payment question</w:t>
      </w:r>
    </w:p>
    <w:p>
      <w:r>
        <w:rPr>
          <w:b w:val="0"/>
        </w:rPr>
        <w:t>No payment credentials required.</w:t>
      </w:r>
    </w:p>
    <w:p>
      <w:pPr>
        <w:pStyle w:val="Heading3"/>
        <w:keepNext/>
      </w:pPr>
      <w:r>
        <w:t>Synthetic pattern fixture</w:t>
      </w:r>
    </w:p>
    <w:p>
      <w:r>
        <w:rPr>
          <w:b w:val="0"/>
        </w:rPr>
        <w:t>Source of test PAN: https://docs.stripe.com/testing</w:t>
        <w:br/>
        <w:t>Nonproduction test PAN: 4242 4242 4242 4242</w:t>
        <w:br/>
        <w:t>Invented name: Ada Example</w:t>
        <w:br/>
        <w:t>Future test expiry: 12/34</w:t>
        <w:br/>
        <w:t>Invented test verification code: 123</w:t>
      </w:r>
    </w:p>
    <w:p>
      <w:pPr>
        <w:pStyle w:val="Heading3"/>
        <w:keepNext/>
      </w:pPr>
      <w:r>
        <w:t>Comparison prompts</w:t>
      </w:r>
    </w:p>
    <w:p>
      <w:r>
        <w:rPr>
          <w:b w:val="0"/>
        </w:rPr>
        <w:t>A: “Explain a generic payment-declined response without using account details.”</w:t>
        <w:br/>
        <w:t>B: “This entirely synthetic payment support note contains test PAN 4242 4242 4242 4242, expiry 12/34 and test verification code 123 after a fictional completed transaction. Summarise the problem.”</w:t>
        <w:br/>
        <w:t>C: “The test verification code is 123.”</w:t>
      </w:r>
    </w:p>
    <w:p>
      <w:r>
        <w:rPr>
          <w:b w:val="0"/>
        </w:rPr>
        <w:t>Use only within an authorised synthetic data-control evaluation. Do not submit a payment. Record the selected application, input path and actual outcome; results are not run in this document.</w:t>
      </w:r>
    </w:p>
    <w:p>
      <w:pPr>
        <w:pStyle w:val="Heading1"/>
        <w:keepNext/>
      </w:pPr>
      <w:r>
        <w:t>Practice files</w:t>
      </w:r>
    </w:p>
    <w:p>
      <w:r>
        <w:rPr>
          <w:b w:val="0"/>
        </w:rPr>
        <w:t>The complete download pack includes these original working files. Keep their original formats when running or inspecting the examples.</w:t>
      </w:r>
    </w:p>
    <w:p>
      <w:pPr>
        <w:pStyle w:val="ListBullet"/>
      </w:pPr>
      <w:hyperlink r:id="rId12">
        <w:r>
          <w:rPr>
            <w:color w:val="6412A6"/>
            <w:u w:val="single"/>
          </w:rPr>
          <w:t>PCI synthetic input patterns (pci-synthetic-input-patterns.txt)</w:t>
        </w:r>
      </w:hyperlink>
    </w:p>
    <w:p>
      <w:r>
        <w:rPr>
          <w:b w:val="0"/>
        </w:rPr>
        <w:t>SYNTHETIC NONPRODUCTION INPUT PATTERNS</w:t>
        <w:br/>
        <w:t>Source: https://docs.stripe.com/testing</w:t>
        <w:br/>
        <w:t>Checked: 2026-09-21</w:t>
        <w:br/>
        <w:br/>
        <w:t>PAN: 4242 4242 4242 4242</w:t>
        <w:br/>
        <w:t>Name: Ada Example</w:t>
        <w:br/>
        <w:t>Expiry: 12/34</w:t>
        <w:br/>
        <w:t>Test verification code: 123</w:t>
        <w:br/>
        <w:br/>
        <w:t>Reduced-context comparison: Explain a generic payment-declined response without account details.</w:t>
        <w:br/>
        <w:br/>
        <w:t>No live account or payment is represented. No product control test was run. Use only in an authorised synthetic input-control evaluation.</w:t>
        <w:br/>
      </w:r>
    </w:p>
    <w:p>
      <w:pPr>
        <w:pStyle w:val="Heading1"/>
        <w:keepNext/>
      </w:pPr>
      <w:r>
        <w:t>Sources and scope</w:t>
      </w:r>
    </w:p>
    <w:p>
      <w:pPr>
        <w:pStyle w:val="SourceNote"/>
        <w:keepNext/>
      </w:pPr>
      <w:r>
        <w:rPr>
          <w:b w:val="0"/>
        </w:rPr>
        <w:t>Sources checked 2026-09-21. Review the current requirements and your actual agreement before using this workbook for a real decision. General information, not professional approval or a completed control test. It does not confer PCI compliance, replace an assessor or determine the full cardholder-data environment.</w:t>
      </w:r>
    </w:p>
    <w:p>
      <w:pPr>
        <w:pStyle w:val="SourceNote"/>
        <w:keepNext/>
      </w:pPr>
      <w:hyperlink r:id="rId13">
        <w:r>
          <w:rPr>
            <w:color w:val="6412A6"/>
            <w:u w:val="single"/>
          </w:rPr>
          <w:t>PCI SSC: Payment security glossary</w:t>
        </w:r>
      </w:hyperlink>
      <w:r>
        <w:t>. Definitions of account data, cardholder data, PAN, sensitive authentication data and the cardholder-data environment.</w:t>
      </w:r>
    </w:p>
    <w:p>
      <w:pPr>
        <w:pStyle w:val="SourceNote"/>
        <w:keepNext/>
      </w:pPr>
      <w:hyperlink r:id="rId14">
        <w:r>
          <w:rPr>
            <w:color w:val="6412A6"/>
            <w:u w:val="single"/>
          </w:rPr>
          <w:t>PCI SSC: Can card verification codes be stored?</w:t>
        </w:r>
      </w:hyperlink>
      <w:r>
        <w:t>. CVV storage after authorisation, encryption and customer-permission limits, and the issuer/issuing-service exception.</w:t>
      </w:r>
    </w:p>
    <w:p>
      <w:pPr>
        <w:pStyle w:val="SourceNote"/>
        <w:keepNext w:val="0"/>
      </w:pPr>
      <w:hyperlink r:id="rId15">
        <w:r>
          <w:rPr>
            <w:color w:val="6412A6"/>
            <w:u w:val="single"/>
          </w:rPr>
          <w:t>Stripe: Test card numbers</w:t>
        </w:r>
      </w:hyperlink>
      <w:r>
        <w:t>. The 4242 4242 4242 4242 nonproduction test card pattern, future test expiry and test CVC guidance; not evidence of Aona detection or a live payment account.</w:t>
      </w:r>
    </w:p>
    <w:sectPr w:rsidR="00FC693F" w:rsidRPr="0006063C" w:rsidSect="00034616">
      <w:footerReference w:type="default" r:id="rId11"/>
      <w:pgSz w:w="11909" w:h="16834"/>
      <w:pgMar w:top="950" w:right="1008" w:bottom="922" w:left="1008"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77" w:val="right"/>
      </w:tabs>
      <w:jc w:val="left"/>
    </w:pPr>
    <w:r>
      <w:rPr>
        <w:color w:val="776381"/>
        <w:sz w:val="16"/>
      </w:rPr>
      <w:t>aona.ai</w:t>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color w:val="3024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40" w:after="160"/>
      <w:outlineLvl w:val="1"/>
    </w:pPr>
    <w:rPr>
      <w:rFonts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340" w:after="160"/>
      <w:outlineLvl w:val="2"/>
    </w:pPr>
    <w:rPr>
      <w:rFonts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spacing w:line="259" w:lineRule="auto" w:after="100"/>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ona.ai/resources/guides/pci-dss-cardholder-data-ai-prompts/" TargetMode="External"/><Relationship Id="rId11" Type="http://schemas.openxmlformats.org/officeDocument/2006/relationships/footer" Target="footer1.xml"/><Relationship Id="rId12" Type="http://schemas.openxmlformats.org/officeDocument/2006/relationships/hyperlink" Target="https://aona.ai/resources/decision-assets/c11/pci-synthetic-input-patterns.txt" TargetMode="External"/><Relationship Id="rId13" Type="http://schemas.openxmlformats.org/officeDocument/2006/relationships/hyperlink" Target="https://www.pcisecuritystandards.org/glossary/" TargetMode="External"/><Relationship Id="rId14" Type="http://schemas.openxmlformats.org/officeDocument/2006/relationships/hyperlink" Target="https://www.pcisecuritystandards.org/faq/articles/Frequently_Asked_Question/Can-card-verification-codes-values-be-stored-for-card-on-file-or-recurring-transactions/" TargetMode="External"/><Relationship Id="rId15" Type="http://schemas.openxmlformats.org/officeDocument/2006/relationships/hyperlink" Target="https://docs.stripe.com/tes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Payment-data AI input cases</dc:title>
  <dc:subject>PCI DSS: card data in AI</dc:subject>
  <dc:creator>Aona</dc:creator>
  <cp:keywords>AI security review workbook</cp:keywords>
  <dc:description>generated by python-docx</dc:description>
  <cp:lastModifiedBy/>
  <cp:revision>1</cp:revision>
  <dcterms:created xsi:type="dcterms:W3CDTF">2026-09-21T00:00:00Z</dcterms:created>
  <dcterms:modified xsi:type="dcterms:W3CDTF">2026-09-21T00:00:00Z</dcterms:modified>
  <cp:category/>
</cp:coreProperties>
</file>