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AI service-provider oversight example</w:t>
      </w:r>
    </w:p>
    <w:p>
      <w:r>
        <w:rPr>
          <w:b w:val="0"/>
        </w:rPr>
        <w:t>Qualified Individuals, financial-services security and procurement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For an institution covered by the FTC Safeguards Rule, an AI vendor receiving customer information belongs in the relevant service-provider review. Assess its ability to safeguard that information, require appropriate safeguards by contract and periodically reassess the provider. A product label does not establish those facts.</w:t>
      </w:r>
    </w:p>
    <w:p>
      <w:r>
        <w:rPr>
          <w:b w:val="0"/>
        </w:rPr>
        <w:t>A fictional tax-preparation firm evaluates a limited wording task before permitting customer documents. Each finding leads to a specific evidence action.</w:t>
      </w:r>
    </w:p>
    <w:p>
      <w:r>
        <w:rPr>
          <w:b w:val="0"/>
        </w:rPr>
        <w:t>Synthetic institution and procurement case. No real provider approval, contract or safeguards test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scope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Confirm applicable coverage</w:t>
      </w:r>
    </w:p>
    <w:p>
      <w:r>
        <w:rPr>
          <w:b w:val="0"/>
        </w:rPr>
        <w:t>Identify the institution, customer-information categories and relevant provider role.</w:t>
      </w:r>
    </w:p>
    <w:p>
      <w:pPr>
        <w:keepNext/>
        <w:spacing w:before="200" w:after="60"/>
      </w:pPr>
      <w:sdt>
        <w:sdtPr>
          <w:tag w:val="aona-check:evidence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Match safeguards to the task</w:t>
      </w:r>
    </w:p>
    <w:p>
      <w:r>
        <w:rPr>
          <w:b w:val="0"/>
        </w:rPr>
        <w:t>Review capability evidence, contractual requirements and ongoing assessment as three separate checks.</w:t>
      </w:r>
    </w:p>
    <w:p>
      <w:pPr>
        <w:keepNext/>
        <w:spacing w:before="200" w:after="60"/>
      </w:pPr>
      <w:sdt>
        <w:sdtPr>
          <w:tag w:val="aona-check:changes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Name the continuing owner</w:t>
      </w:r>
    </w:p>
    <w:p>
      <w:r>
        <w:rPr>
          <w:b w:val="0"/>
        </w:rPr>
        <w:t>Record who responds to service changes, incidents and periodic reassessment findings.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Review area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Illustrative finding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Evidence action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Institution and information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Fictional covered tax-preparation firm; source files contain nonpublic client information.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Compliance owner confirms actual scope and data categories.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Necessity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Generic wording help does not require complete tax returns.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Business owner selects an invented or reduced-context first task.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Provider capability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Service-specific handling and safeguards have not been assessed in the scenario.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Security requests evidence relevant to the exact service and data flow.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Contract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Appropriate safeguards must be reflected in the applicable agreement.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Procurement records the actual obligations and unresolved terms.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Monitoring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monitoring arrangement exists in the fictional starting proposal.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 a provider owner, review cadence and change triggers.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Test and decision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live customer-data use or control test is authorised by the exercise.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synthetic material; record actual results and the accountable decision separately.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Three different evidence steps</w:t>
      </w:r>
    </w:p>
    <w:p>
      <w:pPr>
        <w:pStyle w:val="ListBullet"/>
      </w:pPr>
      <w:r>
        <w:rPr>
          <w:b/>
        </w:rPr>
        <w:t xml:space="preserve">Select: </w:t>
      </w:r>
      <w:r>
        <w:t>Can the provider safeguard this information?</w:t>
      </w:r>
    </w:p>
    <w:p>
      <w:pPr>
        <w:pStyle w:val="ListBullet"/>
      </w:pPr>
      <w:r>
        <w:rPr>
          <w:b/>
        </w:rPr>
        <w:t xml:space="preserve">Contract: </w:t>
      </w:r>
      <w:r>
        <w:t>What obligations apply to the actual service?</w:t>
      </w:r>
    </w:p>
    <w:p>
      <w:pPr>
        <w:pStyle w:val="ListBullet"/>
      </w:pPr>
      <w:r>
        <w:rPr>
          <w:b/>
        </w:rPr>
        <w:t xml:space="preserve">Reassess: </w:t>
      </w:r>
      <w:r>
        <w:t>Are the safeguards still adequate as risk changes?</w:t>
      </w:r>
    </w:p>
    <w:p>
      <w:pPr>
        <w:pStyle w:val="Heading3"/>
        <w:keepNext/>
      </w:pPr>
      <w:r>
        <w:t>Safe example task</w:t>
      </w:r>
    </w:p>
    <w:p>
      <w:r>
        <w:rPr>
          <w:b w:val="0"/>
        </w:rPr>
        <w:t>“Improve the wording of a generic message telling a client how to arrange an appointment. Do not invent names, income, tax identifiers or account information.”</w:t>
      </w:r>
    </w:p>
    <w:p>
      <w:pPr>
        <w:pStyle w:val="Heading3"/>
        <w:keepNext/>
      </w:pPr>
      <w:r>
        <w:t>Example disposition</w:t>
      </w:r>
    </w:p>
    <w:p>
      <w:r>
        <w:rPr>
          <w:b w:val="0"/>
        </w:rPr>
        <w:t>Proceed only with the invented wording exercise. The customer-document proposal remains outside this teaching decision. Actual service terms, controls and accountable review must be established for any real customer-information use.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It is not the institution’s Qualified Individual or an automatic vendor-risk approval system. Its own handling requires review where relevant.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FTC: Safeguards Rule, what your business needs to know</w:t>
        </w:r>
      </w:hyperlink>
      <w:r>
        <w:t>. Covered institutions, customer information, service-provider oversight and the notification threshold and process.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16 CFR 314.2: Definitions</w:t>
        </w:r>
      </w:hyperlink>
      <w:r>
        <w:t>. Customer information, financial-institution scope and the definition and acquisition presumption for a notification event.</w:t>
      </w:r>
    </w:p>
    <w:p>
      <w:pPr>
        <w:pStyle w:val="SourceNote"/>
        <w:keepNext w:val="0"/>
      </w:pPr>
      <w:hyperlink r:id="rId14">
        <w:r>
          <w:rPr>
            <w:color w:val="6412A6"/>
            <w:u w:val="single"/>
          </w:rPr>
          <w:t>16 CFR 314.4: Information-security programme elements</w:t>
        </w:r>
      </w:hyperlink>
      <w:r>
        <w:t>. Service-provider oversight under paragraph (f) and FTC notification timing, content and discovery under paragraph (j).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glba-ai-vendor-safeguards-review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ftc.gov/business-guidance/resources/ftc-safeguards-rule-what-your-business-needs-know" TargetMode="External"/><Relationship Id="rId13" Type="http://schemas.openxmlformats.org/officeDocument/2006/relationships/hyperlink" Target="https://www.law.cornell.edu/cfr/text/16/314.2" TargetMode="External"/><Relationship Id="rId14" Type="http://schemas.openxmlformats.org/officeDocument/2006/relationships/hyperlink" Target="https://www.law.cornell.edu/cfr/text/16/314.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service-provider oversight example</dc:title>
  <dc:subject>GLBA checks for AI vendors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