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FTC AI-exposure threshold exercise</w:t>
      </w:r>
    </w:p>
    <w:p>
      <w:r>
        <w:rPr>
          <w:b w:val="0"/>
        </w:rPr>
        <w:t>FTC-covered financial institutions’ incident and compliance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For a covered institution, the FTC notification requirement applies to a notification event involving at least 500 consumers. The rule concerns unauthorised acquisition of unencrypted customer information, including its access presumption and encryption-key condition. Notify as soon as possible and no later than 30 days after discovery when the requirement applies.</w:t>
      </w:r>
    </w:p>
    <w:p>
      <w:r>
        <w:rPr>
          <w:b w:val="0"/>
        </w:rPr>
        <w:t>Three fictional variants show why the threshold and reliable-evidence analysis must be documented separately.</w:t>
      </w:r>
    </w:p>
    <w:p>
      <w:r>
        <w:rPr>
          <w:b w:val="0"/>
        </w:rPr>
        <w:t>Entirely synthetic data counts and incidents. No actual breach determination, provider response or FTC notification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facts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Establish the notification-event facts</w:t>
      </w:r>
    </w:p>
    <w:p>
      <w:r>
        <w:rPr>
          <w:b w:val="0"/>
        </w:rPr>
        <w:t>Record authorisation, acquisition/access, encryption and key access, with the evidence supporting any exception.</w:t>
      </w:r>
    </w:p>
    <w:p>
      <w:pPr>
        <w:keepNext/>
        <w:spacing w:before="200" w:after="60"/>
      </w:pPr>
      <w:sdt>
        <w:sdtPr>
          <w:tag w:val="aona-check:count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Count distinct consumers</w:t>
      </w:r>
    </w:p>
    <w:p>
      <w:r>
        <w:rPr>
          <w:b w:val="0"/>
        </w:rPr>
        <w:t>Reconcile the payload and duplication rather than equating rows with people.</w:t>
      </w:r>
    </w:p>
    <w:p>
      <w:pPr>
        <w:keepNext/>
        <w:spacing w:before="200" w:after="60"/>
      </w:pPr>
      <w:sdt>
        <w:sdtPr>
          <w:tag w:val="aona-check:notice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Assign the FTC notice process</w:t>
      </w:r>
    </w:p>
    <w:p>
      <w:r>
        <w:rPr>
          <w:b w:val="0"/>
        </w:rPr>
        <w:t>Record discovery, the responsible owner, deadline and updates; check other notification regimes separately.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Condition or variant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Invented facts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Decision path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Scope check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fictional firm is assumed FTC-covered for this exercise.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 real case must establish institutional and customer-information scope.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Variant A: threshold met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620 distinct consumers; qualifying unauthorised acquisition established in the scenario.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Meets the numerical trigger; assign FTC notice as soon as possible within the 30-day outer limit.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Variant B: below this threshold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420 distinct consumers; same assumed acquisition conditions.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This FTC numerical trigger is not met; investigate and assess other applicable duties.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Variant C: access with contrary evidence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620 consumers; access occurred but reliable technical evidence may establish no acquisition.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Assess that evidence against the rule; do not infer an exception from a lack of known misuse.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Encryption check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 separate scenario involves encrypted data and an exposed decryption key.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Treat the key-access condition as part of the unencrypted-information analysis.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Discovery and report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Relevant employee, officer or agent discovery is recorded, excluding the person committing the breach; some scope facts remain uncertain.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Assign the owner, report known required facts when applicable and update rather than waiting for perfect certainty.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Three decisions, one record</w:t>
      </w:r>
    </w:p>
    <w:p>
      <w:pPr>
        <w:pStyle w:val="ListBullet"/>
      </w:pPr>
      <w:r>
        <w:rPr>
          <w:b/>
        </w:rPr>
        <w:t xml:space="preserve">Scope: </w:t>
      </w:r>
      <w:r>
        <w:t>Covered institution and customer information</w:t>
      </w:r>
    </w:p>
    <w:p>
      <w:pPr>
        <w:pStyle w:val="ListBullet"/>
      </w:pPr>
      <w:r>
        <w:rPr>
          <w:b/>
        </w:rPr>
        <w:t xml:space="preserve">Event: </w:t>
      </w:r>
      <w:r>
        <w:t>Acquisition, access presumption and encryption</w:t>
      </w:r>
    </w:p>
    <w:p>
      <w:pPr>
        <w:pStyle w:val="ListBullet"/>
      </w:pPr>
      <w:r>
        <w:rPr>
          <w:b/>
        </w:rPr>
        <w:t xml:space="preserve">Threshold: </w:t>
      </w:r>
      <w:r>
        <w:t>At least 500 distinct consumers</w:t>
      </w:r>
    </w:p>
    <w:p>
      <w:pPr>
        <w:pStyle w:val="ListBullet"/>
      </w:pPr>
      <w:r>
        <w:rPr>
          <w:b/>
        </w:rPr>
        <w:t xml:space="preserve">Action: </w:t>
      </w:r>
      <w:r>
        <w:t>FTC notice owner and discovery-based timing</w:t>
      </w:r>
    </w:p>
    <w:p>
      <w:pPr>
        <w:pStyle w:val="Heading3"/>
        <w:keepNext/>
      </w:pPr>
      <w:r>
        <w:t>Synthetic count reconciliation</w:t>
      </w:r>
    </w:p>
    <w:p>
      <w:r>
        <w:rPr>
          <w:b w:val="0"/>
        </w:rPr>
        <w:t>File rows: 800</w:t>
        <w:br/>
        <w:t>Distinct invented consumers: 620</w:t>
        <w:br/>
        <w:t>Duplicate rows: 180</w:t>
        <w:br/>
        <w:t>Scenario A acquisition: assumed established for teaching</w:t>
        <w:br/>
        <w:t>Scenario A numerical finding: at least 500 consumers</w:t>
      </w:r>
    </w:p>
    <w:p>
      <w:pPr>
        <w:pStyle w:val="Heading3"/>
        <w:keepNext/>
      </w:pPr>
      <w:r>
        <w:t>Case record fields</w:t>
      </w:r>
    </w:p>
    <w:p>
      <w:r>
        <w:rPr>
          <w:b w:val="0"/>
        </w:rPr>
        <w:t>Record the institution and scope, discovery evidence, data types, distinct consumer count, acquisition/encryption findings, reliable contrary evidence if any, notification owner, known facts submitted and subsequent updates.</w:t>
      </w:r>
    </w:p>
    <w:p>
      <w:r>
        <w:rPr>
          <w:b w:val="0"/>
        </w:rPr>
        <w:t>No notice is generated or sent by this worksheet.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It does not decide FTC reportability, determine every affected consumer or submit the notification.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FTC: Safeguards Rule, what your business needs to know</w:t>
        </w:r>
      </w:hyperlink>
      <w:r>
        <w:t>. Covered institutions, customer information, service-provider oversight and the notification threshold and process.</w:t>
      </w:r>
    </w:p>
    <w:p>
      <w:pPr>
        <w:pStyle w:val="SourceNote"/>
        <w:keepNext/>
      </w:pPr>
      <w:hyperlink r:id="rId13">
        <w:r>
          <w:rPr>
            <w:color w:val="6412A6"/>
            <w:u w:val="single"/>
          </w:rPr>
          <w:t>16 CFR 314.2: Definitions</w:t>
        </w:r>
      </w:hyperlink>
      <w:r>
        <w:t>. Customer information, financial-institution scope and the definition and acquisition presumption for a notification event.</w:t>
      </w:r>
    </w:p>
    <w:p>
      <w:pPr>
        <w:pStyle w:val="SourceNote"/>
        <w:keepNext w:val="0"/>
      </w:pPr>
      <w:hyperlink r:id="rId14">
        <w:r>
          <w:rPr>
            <w:color w:val="6412A6"/>
            <w:u w:val="single"/>
          </w:rPr>
          <w:t>16 CFR 314.4: Information-security programme elements</w:t>
        </w:r>
      </w:hyperlink>
      <w:r>
        <w:t>. Service-provider oversight under paragraph (f), and FTC notification timing, content and discovery under paragraph (j), including the exclusion of the person committing the breach from deemed institutional knowledge.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ftc-safeguards-ai-exposure-notification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ftc.gov/business-guidance/resources/ftc-safeguards-rule-what-your-business-needs-know" TargetMode="External"/><Relationship Id="rId13" Type="http://schemas.openxmlformats.org/officeDocument/2006/relationships/hyperlink" Target="https://www.law.cornell.edu/cfr/text/16/314.2" TargetMode="External"/><Relationship Id="rId14" Type="http://schemas.openxmlformats.org/officeDocument/2006/relationships/hyperlink" Target="https://www.law.cornell.edu/cfr/text/16/314.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FTC AI-exposure threshold exercise</dc:title>
  <dc:subject>When an AI leak needs FTC review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