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School-official exception review</w:t>
      </w:r>
    </w:p>
    <w:p>
      <w:r>
        <w:rPr>
          <w:b w:val="0"/>
        </w:rPr>
        <w:t>School and district privacy officers, education IT and procurement</w:t>
      </w:r>
    </w:p>
    <w:p>
      <w:pPr>
        <w:spacing w:after="280"/>
      </w:pPr>
      <w:hyperlink r:id="rId10">
        <w:r>
          <w:rPr>
            <w:color w:val="6412A6"/>
            <w:u w:val="single"/>
          </w:rPr>
          <w:t>Read the complete guide on aona.ai</w:t>
        </w:r>
      </w:hyperlink>
    </w:p>
    <w:p>
      <w:r>
        <w:rPr>
          <w:b w:val="0"/>
        </w:rPr>
        <w:t>An AI vendor is not a FERPA school official simply because a school buys its product. The exception requires the relevant institutional function, direct control over record use and maintenance, and applicable use and redisclosure restrictions. Check the school’s notice criteria and limit access to legitimate educational interests.</w:t>
      </w:r>
    </w:p>
    <w:p>
      <w:r>
        <w:rPr>
          <w:b w:val="0"/>
        </w:rPr>
        <w:t>An invented district considers a vendor for administrative drafting with student-record excerpts. Its proposed terms leave several required conditions unestablished.</w:t>
      </w:r>
    </w:p>
    <w:p>
      <w:r>
        <w:rPr>
          <w:b w:val="0"/>
        </w:rPr>
        <w:t>Synthetic district, vendor and terms. No real FERPA exception, contract or institutional approval is determined.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function"/>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Name the institutional task</w:t>
      </w:r>
    </w:p>
    <w:p>
      <w:r>
        <w:rPr>
          <w:b w:val="0"/>
        </w:rPr>
        <w:t>Explain which service the school would otherwise use employees to perform.</w:t>
      </w:r>
    </w:p>
    <w:p>
      <w:pPr>
        <w:keepNext/>
        <w:spacing w:before="200" w:after="60"/>
      </w:pPr>
      <w:sdt>
        <w:sdtPr>
          <w:tag w:val="aona-check:control"/>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enforceable control</w:t>
      </w:r>
    </w:p>
    <w:p>
      <w:r>
        <w:rPr>
          <w:b w:val="0"/>
        </w:rPr>
        <w:t>Document actual terms and procedures for use, maintenance and onward disclosure.</w:t>
      </w:r>
    </w:p>
    <w:p>
      <w:pPr>
        <w:keepNext/>
        <w:spacing w:before="200" w:after="60"/>
      </w:pPr>
      <w:sdt>
        <w:sdtPr>
          <w:tag w:val="aona-check:access"/>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Match interest and access</w:t>
      </w:r>
    </w:p>
    <w:p>
      <w:r>
        <w:rPr>
          <w:b w:val="0"/>
        </w:rPr>
        <w:t>Apply the annual-notice criteria and limit the feature to the users and records needed.</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Condition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Fictional evidence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Outcome or next step</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Institutional service or function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The school describes a limited administrative drafting task normally handled by employees.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Record that exact task; do not extend the scope to unrelated vendor uses.</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Direct control</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proposal gives the vendor broad reuse discretion and no demonstrated school control over record maintenance.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Condition is not established in this case; resolve the arrangement before disclosure.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Use and redisclosure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Onward access by a connected service is not explained.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Identify recipient and purpose restrictions under the applicable rules.</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Annual notice criteria</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district’s actual notice criteria have not been compared in the example.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Check school-official and legitimate-interest criteria with the institutional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Access limitation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Only the assigned team needs the specific administrative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Define users, records and feature permissions; a whole-school licence is insufficient evidence.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Illustrative decision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Required direct-control and onward-use facts remain unresolved.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Do not send student records on this route based on the school-official exception yet.</w:t>
            </w:r>
          </w:p>
        </w:tc>
      </w:tr>
    </w:tbl>
    <w:p>
      <w:pPr>
        <w:spacing w:after="0" w:line="80" w:lineRule="exact"/>
      </w:pPr>
      <w:r>
        <w:rPr>
          <w:sz w:val="2"/>
        </w:rPr>
      </w:r>
    </w:p>
    <w:p>
      <w:pPr>
        <w:pStyle w:val="Heading1"/>
        <w:keepNext/>
      </w:pPr>
      <w:r>
        <w:t>Four checks before relying on the exception</w:t>
      </w:r>
    </w:p>
    <w:p>
      <w:pPr>
        <w:pStyle w:val="ListBullet"/>
      </w:pPr>
      <w:r>
        <w:rPr>
          <w:b/>
        </w:rPr>
        <w:t xml:space="preserve">Function: </w:t>
      </w:r>
      <w:r>
        <w:t>A defined institutional task</w:t>
      </w:r>
    </w:p>
    <w:p>
      <w:pPr>
        <w:pStyle w:val="ListBullet"/>
      </w:pPr>
      <w:r>
        <w:rPr>
          <w:b/>
        </w:rPr>
        <w:t xml:space="preserve">Control: </w:t>
      </w:r>
      <w:r>
        <w:t>Use and maintenance under school control</w:t>
      </w:r>
    </w:p>
    <w:p>
      <w:pPr>
        <w:pStyle w:val="ListBullet"/>
      </w:pPr>
      <w:r>
        <w:rPr>
          <w:b/>
        </w:rPr>
        <w:t xml:space="preserve">Restrictions: </w:t>
      </w:r>
      <w:r>
        <w:t>Permitted use and onward disclosure</w:t>
      </w:r>
    </w:p>
    <w:p>
      <w:pPr>
        <w:pStyle w:val="ListBullet"/>
      </w:pPr>
      <w:r>
        <w:rPr>
          <w:b/>
        </w:rPr>
        <w:t xml:space="preserve">Access: </w:t>
      </w:r>
      <w:r>
        <w:t>Legitimate interest and notice criteria</w:t>
      </w:r>
    </w:p>
    <w:p>
      <w:pPr>
        <w:pStyle w:val="Heading3"/>
        <w:keepNext/>
      </w:pPr>
      <w:r>
        <w:t>Conditional decision path</w:t>
      </w:r>
    </w:p>
    <w:p>
      <w:pPr>
        <w:pStyle w:val="ListBullet"/>
      </w:pPr>
      <w:r>
        <w:rPr>
          <w:b w:val="0"/>
        </w:rPr>
        <w:t>All applicable school-official conditions established: record the institution’s scoped decision and safeguards.</w:t>
      </w:r>
    </w:p>
    <w:p>
      <w:pPr>
        <w:pStyle w:val="ListBullet"/>
      </w:pPr>
      <w:r>
        <w:rPr>
          <w:b w:val="0"/>
        </w:rPr>
        <w:t>A required condition is not met: do not rely on this exception for the proposed disclosure.</w:t>
      </w:r>
    </w:p>
    <w:p>
      <w:pPr>
        <w:pStyle w:val="ListBullet"/>
      </w:pPr>
      <w:r>
        <w:rPr>
          <w:b w:val="0"/>
        </w:rPr>
        <w:t>A material condition is unknown: resolve it before sending education records, or identify another applicable lawful route.</w:t>
      </w:r>
    </w:p>
    <w:p>
      <w:pPr>
        <w:pStyle w:val="Heading3"/>
        <w:keepNext/>
      </w:pPr>
      <w:r>
        <w:t>Safe alternative</w:t>
      </w:r>
    </w:p>
    <w:p>
      <w:r>
        <w:rPr>
          <w:b w:val="0"/>
        </w:rPr>
        <w:t>Practise the administrative wording task with invented student information while the actual disclosure authority is assessed. This document does not obtain consent or approve a provider.</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designate school officials, establish consent or approve FERPA disclosure exceptions.</w:t>
      </w:r>
    </w:p>
    <w:p>
      <w:pPr>
        <w:pStyle w:val="SourceNote"/>
        <w:keepNext w:val="0"/>
      </w:pPr>
      <w:hyperlink r:id="rId12">
        <w:r>
          <w:rPr>
            <w:color w:val="6412A6"/>
            <w:u w:val="single"/>
          </w:rPr>
          <w:t>US Department of Education: FERPA regulations</w:t>
        </w:r>
      </w:hyperlink>
      <w:r>
        <w:t>. 34 CFR 99 definitions, annual notice, school-official exception, legitimate educational interests and use/redisclosure restrictions.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ferpa-ai-school-official-exception/" TargetMode="External"/><Relationship Id="rId11" Type="http://schemas.openxmlformats.org/officeDocument/2006/relationships/footer" Target="footer1.xml"/><Relationship Id="rId12" Type="http://schemas.openxmlformats.org/officeDocument/2006/relationships/hyperlink" Target="https://studentprivacy.ed.gov/fer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School-official exception review</dc:title>
  <dc:subject>FERPA’s school-official exception for AI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