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80"/>
      </w:pPr>
      <w:r>
        <w:drawing>
          <wp:inline xmlns:a="http://schemas.openxmlformats.org/drawingml/2006/main" xmlns:pic="http://schemas.openxmlformats.org/drawingml/2006/picture">
            <wp:extent cx="987552" cy="28992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ona-logo-ligh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87552" cy="2899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rPr>
          <w:b w:val="0"/>
        </w:rPr>
        <w:t>AI record-classification branch map</w:t>
      </w:r>
    </w:p>
    <w:p>
      <w:r>
        <w:rPr>
          <w:b w:val="0"/>
        </w:rPr>
        <w:t>Broker-dealer records officers, compliance teams and security architects</w:t>
      </w:r>
    </w:p>
    <w:p>
      <w:pPr>
        <w:spacing w:after="280"/>
      </w:pPr>
      <w:hyperlink r:id="rId10">
        <w:r>
          <w:rPr>
            <w:color w:val="6412A6"/>
            <w:u w:val="single"/>
          </w:rPr>
          <w:t>Read the complete guide on aona.ai</w:t>
        </w:r>
      </w:hyperlink>
    </w:p>
    <w:p>
      <w:r>
        <w:rPr>
          <w:b w:val="0"/>
        </w:rPr>
        <w:t>Do not classify an AI conversation solely by the tool that created it. Determine whether its content or use makes it a record required under applicable FINRA or Exchange Act rules. Rule 4511’s six-year fallback applies to required FINRA records with no other specified period, not automatically to every prompt.</w:t>
      </w:r>
    </w:p>
    <w:p>
      <w:r>
        <w:rPr>
          <w:b w:val="0"/>
        </w:rPr>
        <w:t>Use explicit yes, no and unknown outcomes to reach the retention and archive decision. Separate fictional business cases are included in the download.</w:t>
      </w:r>
    </w:p>
    <w:p>
      <w:r>
        <w:rPr>
          <w:b w:val="0"/>
        </w:rPr>
        <w:t>General decision logic plus synthetic business examples. No actual record determination, archive validation or litigation hold is represented.</w:t>
      </w:r>
    </w:p>
    <w:p>
      <w:pPr>
        <w:pStyle w:val="Heading1"/>
        <w:keepNext/>
      </w:pPr>
      <w:r>
        <w:t>Your review</w:t>
      </w:r>
    </w:p>
    <w:p>
      <w:r>
        <w:rPr>
          <w:b w:val="0"/>
        </w:rPr>
        <w:t>Reviewer: ____________________    Date: ____________________</w:t>
      </w:r>
    </w:p>
    <w:p>
      <w:r>
        <w:rPr>
          <w:b w:val="0"/>
        </w:rPr>
        <w:t>Organisation or team: _____________________________________</w:t>
      </w:r>
    </w:p>
    <w:p>
      <w:pPr>
        <w:keepNext/>
        <w:spacing w:before="200" w:after="60"/>
      </w:pPr>
      <w:sdt>
        <w:sdtPr>
          <w:tag w:val="aona-check:record"/>
          <w:id w:val="100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Identify the actual record rule</w:t>
      </w:r>
    </w:p>
    <w:p>
      <w:r>
        <w:rPr>
          <w:b w:val="0"/>
        </w:rPr>
        <w:t>Tie classification to business content and use, not only the app, file type or draft label.</w:t>
      </w:r>
    </w:p>
    <w:p>
      <w:pPr>
        <w:keepNext/>
        <w:spacing w:before="200" w:after="60"/>
      </w:pPr>
      <w:sdt>
        <w:sdtPr>
          <w:tag w:val="aona-check:period"/>
          <w:id w:val="101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Document the period and basis</w:t>
      </w:r>
    </w:p>
    <w:p>
      <w:r>
        <w:rPr>
          <w:b w:val="0"/>
        </w:rPr>
        <w:t>Distinguish a specified period from the Rule 4511 fallback and any separate preservation obligation.</w:t>
      </w:r>
    </w:p>
    <w:p>
      <w:pPr>
        <w:keepNext/>
        <w:spacing w:before="200" w:after="60"/>
      </w:pPr>
      <w:sdt>
        <w:sdtPr>
          <w:tag w:val="aona-check:archive"/>
          <w:id w:val="102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Verify the archive handoff</w:t>
      </w:r>
    </w:p>
    <w:p>
      <w:r>
        <w:rPr>
          <w:b w:val="0"/>
        </w:rPr>
        <w:t>Map required context, identity, retrieval, format and media with the responsible records team.</w:t>
      </w:r>
    </w:p>
    <w:p>
      <w:r>
        <w:rPr>
          <w:b w:val="0"/>
        </w:rPr>
        <w:t>Checked items record your review, not a compliance approval or an installed-product test result.</w:t>
      </w:r>
    </w:p>
    <w:p>
      <w:pPr>
        <w:pStyle w:val="Heading2"/>
        <w:keepNext/>
      </w:pPr>
      <w:r>
        <w:t>Notes and next actions</w:t>
      </w:r>
    </w:p>
    <w:p>
      <w:pPr>
        <w:spacing w:after="200"/>
      </w:pPr>
      <w:r>
        <w:rPr>
          <w:b/>
        </w:rPr>
        <w:t xml:space="preserve">Decision and scope: </w:t>
      </w:r>
      <w:r>
        <w:t>_____________________________________________</w:t>
      </w:r>
    </w:p>
    <w:p>
      <w:pPr>
        <w:spacing w:after="200"/>
      </w:pPr>
      <w:r>
        <w:rPr>
          <w:b/>
        </w:rPr>
        <w:t xml:space="preserve">Evidence to collect: </w:t>
      </w:r>
      <w:r>
        <w:t>_____________________________________________</w:t>
      </w:r>
    </w:p>
    <w:p>
      <w:pPr>
        <w:spacing w:after="200"/>
      </w:pPr>
      <w:r>
        <w:rPr>
          <w:b/>
        </w:rPr>
        <w:t xml:space="preserve">Owner and next review date: </w:t>
      </w:r>
      <w:r>
        <w:t>_____________________________________________</w:t>
      </w:r>
    </w:p>
    <w:p>
      <w:pPr>
        <w:pStyle w:val="Heading1"/>
        <w:keepNext/>
      </w:pPr>
      <w:r>
        <w:t>Review matrix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473"/>
        <w:gridCol w:w="3710"/>
        <w:gridCol w:w="3710"/>
      </w:tblGrid>
      <w:tr>
        <w:trPr>
          <w:tblHeader/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Question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Finding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Next outcome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Does a FINRA or applicable Exchange Act record requirement apply?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Yes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Identify the exact required record and governing rule.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Does a record requirement apply?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No under the assessed rule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Check other applicable retention or preservation duties; do not infer all deletion is permitted.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Does a record requirement apply?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Unknown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Escalate classification before deleting potentially relevant material.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Is a retention period specified by the applicable rules?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Yes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Use that specified period for the identified record.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Is it a required FINRA record with no specified period?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Yes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Apply Rule 4511(b)’s at-least-six-year fallback.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Are format, media and archive requirements established?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No or unknown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Resolve the Rule 17a-4 handoff with the records team; a chat export is not enough.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Is a separate preservation obligation relevant?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Yes or unknown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Resolve that obligation before routine disposal.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Are classification, period and archive handoff established?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Yes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Preserve and retrieve the required evidence under the documented process.</w:t>
            </w:r>
          </w:p>
        </w:tc>
      </w:tr>
    </w:tbl>
    <w:p>
      <w:pPr>
        <w:spacing w:after="0" w:line="80" w:lineRule="exact"/>
      </w:pPr>
      <w:r>
        <w:rPr>
          <w:sz w:val="2"/>
        </w:rPr>
      </w:r>
    </w:p>
    <w:p>
      <w:pPr>
        <w:pStyle w:val="Heading1"/>
        <w:keepNext/>
      </w:pPr>
      <w:r>
        <w:t>An unknown answer needs an owner</w:t>
      </w:r>
    </w:p>
    <w:p>
      <w:pPr>
        <w:pStyle w:val="ListBullet"/>
      </w:pPr>
      <w:r>
        <w:rPr>
          <w:b/>
        </w:rPr>
        <w:t xml:space="preserve">Record required?: </w:t>
      </w:r>
      <w:r>
        <w:t>Yes: identify the rule. No: check other duties. Unknown: escalate.</w:t>
      </w:r>
    </w:p>
    <w:p>
      <w:pPr>
        <w:pStyle w:val="ListBullet"/>
      </w:pPr>
      <w:r>
        <w:rPr>
          <w:b/>
        </w:rPr>
        <w:t xml:space="preserve">Period specified?: </w:t>
      </w:r>
      <w:r>
        <w:t>Use it; apply the six-year fallback only where its conditions hold.</w:t>
      </w:r>
    </w:p>
    <w:p>
      <w:pPr>
        <w:pStyle w:val="ListBullet"/>
      </w:pPr>
      <w:r>
        <w:rPr>
          <w:b/>
        </w:rPr>
        <w:t xml:space="preserve">Archive ready?: </w:t>
      </w:r>
      <w:r>
        <w:t>Resolve format, media and required context.</w:t>
      </w:r>
    </w:p>
    <w:p>
      <w:pPr>
        <w:pStyle w:val="ListBullet"/>
      </w:pPr>
      <w:r>
        <w:rPr>
          <w:b/>
        </w:rPr>
        <w:t xml:space="preserve">Preservation issue?: </w:t>
      </w:r>
      <w:r>
        <w:t>Resolve before routine disposal.</w:t>
      </w:r>
    </w:p>
    <w:p>
      <w:pPr>
        <w:pStyle w:val="Heading3"/>
        <w:keepNext/>
      </w:pPr>
      <w:r>
        <w:t>Separate fictional classification cases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473"/>
        <w:gridCol w:w="3710"/>
        <w:gridCol w:w="3710"/>
      </w:tblGrid>
      <w:tr>
        <w:trPr>
          <w:tblHeader/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Situation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Classification question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Next outcome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Generic question about a public definition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Was it merely reference material, or used as evidence of a regulated business activity?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Records owner determines whether any record requirement applies; do not classify by tool alone.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AI draft later sent to a customer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What communication record and material review evidence are required?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Preserve the applicable final communication and supporting record under the relevant rule.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AI summary used in supervisory review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Which review decision, source material and findings must be evidenced?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Link required supervisory evidence to the appropriate records process.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Unsent draft contains material decision context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Does the actual rule or preservation duty require this context?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Resolve before deletion; “draft” alone is not a decision.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Required FINRA record with a specified period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Which FINRA or Exchange Act period applies?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Use the applicable specified period.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Required FINRA record with no specified period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Does Rule 4511(b)’s fallback apply?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Apply at least six years where the fallback conditions are met.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Format, media or preservation uncertain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Are archive requirements or a specific preservation obligation unresolved?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Escalate to the records/legal owner; do not claim a normal chat export resolves them.</w:t>
            </w:r>
          </w:p>
        </w:tc>
      </w:tr>
    </w:tbl>
    <w:p>
      <w:pPr>
        <w:spacing w:after="0" w:line="80" w:lineRule="exact"/>
      </w:pPr>
      <w:r>
        <w:rPr>
          <w:sz w:val="2"/>
        </w:rPr>
      </w:r>
    </w:p>
    <w:p>
      <w:pPr>
        <w:pStyle w:val="Heading3"/>
        <w:keepNext/>
      </w:pPr>
      <w:r>
        <w:t>Synthetic handoff record</w:t>
      </w:r>
    </w:p>
    <w:p>
      <w:r>
        <w:rPr>
          <w:b w:val="0"/>
        </w:rPr>
        <w:t>Reference: TEST-RECORD-01</w:t>
        <w:br/>
        <w:t>Activity: fictional customer communication</w:t>
        <w:br/>
        <w:t>Draft: TEST-DRAFT-01</w:t>
        <w:br/>
        <w:t>Final communication: TEST-FINAL-01, not sent</w:t>
        <w:br/>
        <w:t>Review: fictional role and check, no actual approval</w:t>
        <w:br/>
        <w:t>Archive validation: not run</w:t>
      </w:r>
    </w:p>
    <w:p>
      <w:r>
        <w:rPr>
          <w:b w:val="0"/>
        </w:rPr>
        <w:t>Apply the actual record rule before assigning retention. No real archive or preservation order is represented.</w:t>
      </w:r>
    </w:p>
    <w:p>
      <w:pPr>
        <w:pStyle w:val="Heading1"/>
        <w:keepNext/>
      </w:pPr>
      <w:r>
        <w:t>Sources and scope</w:t>
      </w:r>
    </w:p>
    <w:p>
      <w:pPr>
        <w:pStyle w:val="SourceNote"/>
        <w:keepNext/>
      </w:pPr>
      <w:r>
        <w:rPr>
          <w:b w:val="0"/>
        </w:rPr>
        <w:t>Sources checked 2026-09-21. Review the current requirements and your actual agreement before using this workbook for a real decision. General information, not professional approval or a completed control test. It is not represented as a Rule 17a-4 books-and-records archive and does not classify every conversation’s legal status.</w:t>
      </w:r>
    </w:p>
    <w:p>
      <w:pPr>
        <w:pStyle w:val="SourceNote"/>
        <w:keepNext/>
      </w:pPr>
      <w:hyperlink r:id="rId12">
        <w:r>
          <w:rPr>
            <w:color w:val="6412A6"/>
            <w:u w:val="single"/>
          </w:rPr>
          <w:t>FINRA Rule 4511: General requirements</w:t>
        </w:r>
      </w:hyperlink>
      <w:r>
        <w:t>. Required books and records, the six-year fallback only when no other period is specified, and Rule 17a-4 format/media requirements.</w:t>
      </w:r>
    </w:p>
    <w:p>
      <w:pPr>
        <w:pStyle w:val="SourceNote"/>
        <w:keepNext w:val="0"/>
      </w:pPr>
      <w:hyperlink r:id="rId13">
        <w:r>
          <w:rPr>
            <w:color w:val="6412A6"/>
            <w:u w:val="single"/>
          </w:rPr>
          <w:t>FINRA Regulatory Notice 24-09</w:t>
        </w:r>
      </w:hyperlink>
      <w:r>
        <w:t>. Technology-neutral duties, pre-deployment evaluation, supervision and communications standards for generative AI use.</w:t>
      </w:r>
    </w:p>
    <w:sectPr w:rsidR="00FC693F" w:rsidRPr="0006063C" w:rsidSect="00034616">
      <w:footerReference w:type="default" r:id="rId11"/>
      <w:pgSz w:w="11909" w:h="16834"/>
      <w:pgMar w:top="950" w:right="1008" w:bottom="922" w:left="1008" w:header="360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77" w:val="right"/>
      </w:tabs>
      <w:jc w:val="left"/>
    </w:pPr>
    <w:r>
      <w:rPr>
        <w:color w:val="776381"/>
        <w:sz w:val="16"/>
      </w:rPr>
      <w:t>aona.ai</w:t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76" w:lineRule="auto"/>
    </w:pPr>
    <w:rPr>
      <w:rFonts w:ascii="Arial" w:hAnsi="Arial"/>
      <w:color w:val="30243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40" w:after="160"/>
      <w:outlineLvl w:val="0"/>
    </w:pPr>
    <w:rPr>
      <w:rFonts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40" w:after="160"/>
      <w:outlineLvl w:val="1"/>
    </w:pPr>
    <w:rPr>
      <w:rFonts w:ascii="Arial" w:hAnsi="Arial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40" w:after="160"/>
      <w:outlineLvl w:val="2"/>
    </w:pPr>
    <w:rPr>
      <w:rFonts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0"/>
      <w:contextualSpacing/>
    </w:pPr>
    <w:rPr>
      <w:rFonts w:ascii="Arial" w:hAnsi="Arial"/>
      <w:b w:val="0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/>
      <w:contextualSpacing/>
    </w:pPr>
    <w:rPr>
      <w:rFonts w:ascii="Arial" w:hAnsi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/>
      <w:contextualSpacing/>
    </w:pPr>
    <w:rPr>
      <w:rFonts w:ascii="Arial" w:hAnsi="Arial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Note">
    <w:name w:val="Source Note"/>
    <w:basedOn w:val="Normal"/>
    <w:pPr>
      <w:spacing w:line="259" w:lineRule="auto" w:after="100"/>
    </w:pPr>
    <w:rPr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yperlink" Target="https://aona.ai/resources/guides/ai-prompts-business-records-finra/" TargetMode="External"/><Relationship Id="rId11" Type="http://schemas.openxmlformats.org/officeDocument/2006/relationships/footer" Target="footer1.xml"/><Relationship Id="rId12" Type="http://schemas.openxmlformats.org/officeDocument/2006/relationships/hyperlink" Target="https://www.finra.org/rules-guidance/rulebooks/finra-rules/4511" TargetMode="External"/><Relationship Id="rId13" Type="http://schemas.openxmlformats.org/officeDocument/2006/relationships/hyperlink" Target="https://www.finra.org/rules-guidance/notices/24-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record-classification branch map</dc:title>
  <dc:subject>When are AI prompts FINRA business records?</dc:subject>
  <dc:creator>Aona</dc:creator>
  <cp:keywords>AI security review workbook</cp:keywords>
  <dc:description>generated by python-docx</dc:description>
  <cp:lastModifiedBy/>
  <cp:revision>1</cp:revision>
  <dcterms:created xsi:type="dcterms:W3CDTF">2026-09-21T00:00:00Z</dcterms:created>
  <dcterms:modified xsi:type="dcterms:W3CDTF">2026-09-21T00:00:00Z</dcterms:modified>
  <cp:category/>
</cp:coreProperties>
</file>