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Regulation S-P AI incident insert</w:t>
      </w:r>
    </w:p>
    <w:p>
      <w:r>
        <w:rPr>
          <w:b w:val="0"/>
        </w:rPr>
        <w:t>SEC-covered institutions’ privacy, incident-response and compliance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For a covered institution, an AI-related customer-information incident belongs in the Regulation S-P response programme. Assess its nature and scope, contain it and determine the affected-individual notice obligation. The reasonable-investigation exception, 30-day outer notice limit and service-provider notification duties are distinct from the FTC’s 500-consumer rule.</w:t>
      </w:r>
    </w:p>
    <w:p>
      <w:r>
        <w:rPr>
          <w:b w:val="0"/>
        </w:rPr>
        <w:t>A fictional covered institution investigates a spreadsheet of 40 invented customers sent through an unapproved AI feature. The count is deliberately below the separate FTC threshold.</w:t>
      </w:r>
    </w:p>
    <w:p>
      <w:r>
        <w:rPr>
          <w:b w:val="0"/>
        </w:rPr>
        <w:t>Synthetic event, customers and roles. No actual investigation finding, notice, provider assurance or control result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the legal and data scope</w:t>
      </w:r>
    </w:p>
    <w:p>
      <w:r>
        <w:rPr>
          <w:b w:val="0"/>
        </w:rPr>
        <w:t>Identify covered institution status, customer information and potentially affected individuals without borrowing another rule’s threshold.</w:t>
      </w:r>
    </w:p>
    <w:p>
      <w:pPr>
        <w:keepNext/>
        <w:spacing w:before="200" w:after="60"/>
      </w:pPr>
      <w:sdt>
        <w:sdtPr>
          <w:tag w:val="aona-check:clock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Track separate notice duties</w:t>
      </w:r>
    </w:p>
    <w:p>
      <w:r>
        <w:rPr>
          <w:b w:val="0"/>
        </w:rPr>
        <w:t>Record provider awareness, institution awareness, responsible recipients and the applicable timing.</w:t>
      </w:r>
    </w:p>
    <w:p>
      <w:pPr>
        <w:keepNext/>
        <w:spacing w:before="200" w:after="60"/>
      </w:pPr>
      <w:sdt>
        <w:sdtPr>
          <w:tag w:val="aona-check:conclusion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Evidence any exception</w:t>
      </w:r>
    </w:p>
    <w:p>
      <w:r>
        <w:rPr>
          <w:b w:val="0"/>
        </w:rPr>
        <w:t>A reasonable investigation must support the relevant conclusion; a lack of reported misuse alone is not the record.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Response step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Worked insert for the fictional event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Owner and evidence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scope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the institution, AI account, feature, spreadsheet and potentially affected information.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Compliance and incident lead establish the actual rule and system scope.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Contain and preserve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Stop additional uploads and preserve relevant facts without spreading the spreadsheet.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Incident team records timing, payload evidence and completed actions.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Investigate sensitive information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Determine what was accessed or used and assess the substantial-harm-or-inconvenience standard.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Privacy/legal owner documents the reasonable investigation and any exception conclusion.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individual notice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treat 40 consumers as automatically below a Regulation S-P threshold.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Notice owner applies the actual rule and relevant 30-day outer limit.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Coordinate provider notice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Obtain the service-provider facts and assess the applicable 72-hour provider-notification requirement.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Vendor owner separates provider notice from notices to affected individuals.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Close and improve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 decisions, actual notices if any and the remediation record.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Response owner updates the plan; no live notice is generated by this exercise.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Keep the notice paths distinct</w:t>
      </w:r>
    </w:p>
    <w:p>
      <w:pPr>
        <w:pStyle w:val="ListBullet"/>
      </w:pPr>
      <w:r>
        <w:rPr>
          <w:b/>
        </w:rPr>
        <w:t xml:space="preserve">Service provider: </w:t>
      </w:r>
      <w:r>
        <w:t>Notify the institution under the applicable provider provision</w:t>
      </w:r>
    </w:p>
    <w:p>
      <w:r>
        <w:rPr>
          <w:b w:val="0"/>
        </w:rPr>
        <w:t>The described outer limit is 72 hours.</w:t>
      </w:r>
    </w:p>
    <w:p>
      <w:pPr>
        <w:pStyle w:val="ListBullet"/>
      </w:pPr>
      <w:r>
        <w:rPr>
          <w:b/>
        </w:rPr>
        <w:t xml:space="preserve">Covered institution: </w:t>
      </w:r>
      <w:r>
        <w:t>Assess, contain and investigate</w:t>
      </w:r>
    </w:p>
    <w:p>
      <w:pPr>
        <w:pStyle w:val="ListBullet"/>
      </w:pPr>
      <w:r>
        <w:rPr>
          <w:b/>
        </w:rPr>
        <w:t xml:space="preserve">Affected individual: </w:t>
      </w:r>
      <w:r>
        <w:t>Receive required notice from or on behalf of the institution</w:t>
      </w:r>
    </w:p>
    <w:p>
      <w:r>
        <w:rPr>
          <w:b w:val="0"/>
        </w:rPr>
        <w:t>Apply the separate notice conditions and timing.</w:t>
      </w:r>
    </w:p>
    <w:p>
      <w:pPr>
        <w:pStyle w:val="Heading3"/>
        <w:keepNext/>
      </w:pPr>
      <w:r>
        <w:t>Fictional response-plan insert</w:t>
      </w:r>
    </w:p>
    <w:p>
      <w:r>
        <w:rPr>
          <w:b w:val="0"/>
        </w:rPr>
        <w:t>Trigger: employee reports using an AI feature with a spreadsheet containing 40 invented customer records.</w:t>
        <w:br/>
        <w:t>Immediate routing: incident lead, privacy/compliance owner and vendor owner.</w:t>
        <w:br/>
        <w:t>Evidence questions: which account and feature; what information; what actually reached the provider; which recipients and copies; what access/use occurred; what mitigation is evidenced.</w:t>
        <w:br/>
        <w:t>Notice analysis: apply Regulation S-P’s affected-individual and investigation conditions. Do not apply the FTC 500-consumer threshold.</w:t>
        <w:br/>
        <w:t>Provider coordination: document the separate provider-to-institution notice and facts.</w:t>
        <w:br/>
        <w:t>Final decision: no live determination or notice in this exercise.</w:t>
      </w:r>
    </w:p>
    <w:p>
      <w:r>
        <w:rPr>
          <w:b w:val="0"/>
        </w:rPr>
        <w:t>This insert supplements an existing institution-specific plan; it does not replace its roles, legal assessment or notice procedures.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determine Regulation S-P notice obligations, conduct the institution’s legal investigation or send notices.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17 CFR 248.30: Customer-information safeguards and response</w:t>
        </w:r>
      </w:hyperlink>
      <w:r>
        <w:t>. Covered institutions, customer and sensitive customer information, response and notice duties, investigation exception and service-provider oversight.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SEC: Regulation S-P final rule, 3 June 2024</w:t>
        </w:r>
      </w:hyperlink>
      <w:r>
        <w:t>. Final amendments and the 18-month larger-entity and 24-month smaller-entity compliance periods from publication; distinct from the proposal.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regulation-sp-ai-incident-response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law.cornell.edu/cfr/text/17/248.30" TargetMode="External"/><Relationship Id="rId13" Type="http://schemas.openxmlformats.org/officeDocument/2006/relationships/hyperlink" Target="https://www.govinfo.gov/content/pkg/FR-2024-06-03/html/2024-1111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 S-P AI incident insert</dc:title>
  <dc:subject>AI data leaks under Reg S-P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