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Linked AI supplier register example</w:t>
      </w:r>
    </w:p>
    <w:p>
      <w:r>
        <w:rPr>
          <w:b w:val="0"/>
        </w:rPr>
        <w:t>Financial-entity ICT risk, procurement and operational-resilience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DORA’s register covers contractual arrangements for ICT services, distinguishing those supporting critical or important functions from other arrangements. An AI-tool inventory is a useful starting point, but the register needs linked entity, provider, contract, service and function information. Validate those relationships and identifiers before using the official reporting format.</w:t>
      </w:r>
    </w:p>
    <w:p>
      <w:r>
        <w:rPr>
          <w:b w:val="0"/>
        </w:rPr>
        <w:t>Trace a fictional provider through its contractual arrangement to the financial entity, service user and supported function. The pack includes populated linked CSVs.</w:t>
      </w:r>
    </w:p>
    <w:p>
      <w:r>
        <w:rPr>
          <w:b w:val="0"/>
        </w:rPr>
        <w:t>All entities, contracts, references and dependency findings are synthetic. Internal EX identifiers are not legal identifiers; this is not an official filing or a completed DORA assessment.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identity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Validate the legal identities</w:t>
      </w:r>
    </w:p>
    <w:p>
      <w:r>
        <w:rPr>
          <w:b w:val="0"/>
        </w:rPr>
        <w:t>Confirm the contracting, supplying and using entities and the applicable valid LEI/EUID requirements.</w:t>
      </w:r>
    </w:p>
    <w:p>
      <w:pPr>
        <w:keepNext/>
        <w:spacing w:before="200" w:after="60"/>
      </w:pPr>
      <w:sdt>
        <w:sdtPr>
          <w:tag w:val="aona-check:links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Reconcile linked references</w:t>
      </w:r>
    </w:p>
    <w:p>
      <w:r>
        <w:rPr>
          <w:b w:val="0"/>
        </w:rPr>
        <w:t>Check that contract, provider, user and function records refer to the same actual arrangement.</w:t>
      </w:r>
    </w:p>
    <w:p>
      <w:pPr>
        <w:keepNext/>
        <w:spacing w:before="200" w:after="60"/>
      </w:pPr>
      <w:sdt>
        <w:sdtPr>
          <w:tag w:val="aona-check:function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Evidence the function assessment</w:t>
      </w:r>
    </w:p>
    <w:p>
      <w:r>
        <w:rPr>
          <w:b w:val="0"/>
        </w:rPr>
        <w:t>Have the accountable owner assess criticality, dependency and change triggers before mapping the complete official templates.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relationship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Populated teaching entry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Official-structure handoff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 and user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ENTITY-EX-01: fictional Example EU Finance SA.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Link entity scope and users through B_01 and B_04.01 as applicable.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Direct provider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PROVIDER-EX-01: fictional Example Text Services Ltd.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 and signing-party information link to B_05.01 and B_03.02.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CONTRACT-EX-01: direct subscription for the fictional drafting service.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General/specific arrangement information belongs in the B_02 family.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SERVICE-EX-01: employee correspondence drafting, no customer action automation in the example.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Map the actual ICT service and users to the contract.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Function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FUNCTION-EX-01: internal administrative correspondence.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the supported function in B_06.01.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Criticality assumption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Non-critical only for the teaching scenario, with an alternative process.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Real function assessment needs evidence; B_07.01 concerns relevant critical/important-function service assessments.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Identifier validation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All EX references are internal teaching identifiers, not LEIs or EUIDs.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Obtain valid legal identifiers and complete the official data requirements before filing.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Follow the stable references</w:t>
      </w:r>
    </w:p>
    <w:p>
      <w:pPr>
        <w:pStyle w:val="ListBullet"/>
      </w:pPr>
      <w:r>
        <w:rPr>
          <w:b/>
        </w:rPr>
        <w:t xml:space="preserve">ENTITY-EX-01: </w:t>
      </w:r>
      <w:r>
        <w:t>Uses the drafting service</w:t>
      </w:r>
    </w:p>
    <w:p>
      <w:pPr>
        <w:pStyle w:val="ListBullet"/>
      </w:pPr>
      <w:r>
        <w:rPr>
          <w:b/>
        </w:rPr>
        <w:t xml:space="preserve">CONTRACT-EX-01: </w:t>
      </w:r>
      <w:r>
        <w:t>Links the entity to PROVIDER-EX-01</w:t>
      </w:r>
    </w:p>
    <w:p>
      <w:pPr>
        <w:pStyle w:val="ListBullet"/>
      </w:pPr>
      <w:r>
        <w:rPr>
          <w:b/>
        </w:rPr>
        <w:t xml:space="preserve">SERVICE-EX-01: </w:t>
      </w:r>
      <w:r>
        <w:t>Supports FUNCTION-EX-01</w:t>
      </w:r>
    </w:p>
    <w:p>
      <w:pPr>
        <w:pStyle w:val="ListBullet"/>
      </w:pPr>
      <w:r>
        <w:rPr>
          <w:b/>
        </w:rPr>
        <w:t xml:space="preserve">FUNCTION-EX-01: </w:t>
      </w:r>
      <w:r>
        <w:t>Internal correspondence</w:t>
      </w:r>
    </w:p>
    <w:p>
      <w:r>
        <w:rPr>
          <w:b w:val="0"/>
        </w:rPr>
        <w:t>All references and the classification are synthetic.</w:t>
      </w:r>
    </w:p>
    <w:p>
      <w:pPr>
        <w:pStyle w:val="Heading3"/>
        <w:keepNext/>
      </w:pPr>
      <w:r>
        <w:t>Populated linked records</w:t>
      </w:r>
    </w:p>
    <w:p>
      <w:r>
        <w:rPr>
          <w:b w:val="0"/>
        </w:rPr>
        <w:t>ENTITY-EX-01 uses SERVICE-EX-01 from PROVIDER-EX-01 under CONTRACT-EX-01. The service supports FUNCTION-EX-01. All names and identifiers are fictional.</w:t>
      </w:r>
    </w:p>
    <w:p>
      <w:pPr>
        <w:pStyle w:val="Heading3"/>
        <w:keepNext/>
      </w:pPr>
      <w:r>
        <w:t>Register mapping</w:t>
      </w:r>
    </w:p>
    <w:p>
      <w:r>
        <w:rPr>
          <w:b w:val="0"/>
        </w:rPr>
        <w:t>Use the actual 2024/2956 template instructions for B_01 entity scope, B_02 arrangements, B_03 signing entities, B_04 users, B_05 providers/supply chain, B_06 functions and the relevant B_07 assessments. This exercise does not contain every required field or controlled vocabulary.</w:t>
      </w:r>
    </w:p>
    <w:p>
      <w:pPr>
        <w:pStyle w:val="Heading3"/>
        <w:keepNext/>
      </w:pPr>
      <w:r>
        <w:t>Data-quality finding</w:t>
      </w:r>
    </w:p>
    <w:p>
      <w:r>
        <w:rPr>
          <w:b w:val="0"/>
        </w:rPr>
        <w:t>The EX references are suitable only for tracing this example. They must not be submitted as LEIs/EUIDs. No regulatory validation or filing has been performed.</w:t>
      </w:r>
    </w:p>
    <w:p>
      <w:pPr>
        <w:pStyle w:val="Heading1"/>
        <w:keepNext/>
      </w:pPr>
      <w:r>
        <w:t>DORA example entities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Entity ref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Entity name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Role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Identifier status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ENTITY-EX-01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Example EU Finance SA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financial entity and service user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internal teaching reference; not an LEI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DORA example providers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Provider ref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Provider name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Role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Identifier status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PROVIDER-EX-01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Example Text Services Ltd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direct ICT provider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internal teaching reference; not an LEI/EUID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DORA example arrangements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Signing entity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description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Employee internal correspondence drafting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direct subscription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DORA example functions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Function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FUNCTION-EX-01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Using entity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ENTITY-EX-01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 ref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CONTRACT-EX-01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Function description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Internal administrative correspondence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Criticality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non-critical teaching assumption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status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alternative process; no real assessment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Its AI catalogue is not the DORA register and does not establish legal identifiers, contract scope or critical-function classification.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DORA: Regulation (EU) 2022/2554</w:t>
        </w:r>
      </w:hyperlink>
      <w:r>
        <w:t>. Article 28 register-of-information obligations and distinction between ICT arrangements supporting critical or important functions and others.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Commission Implementing Regulation (EU) 2024/2956</w:t>
        </w:r>
      </w:hyperlink>
      <w:r>
        <w:t>. Register templates and instructions, linked contract/entity/provider/function data, valid provider identifiers and data-quality requirements.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dora-ai-vendor-register-example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eur-lex.europa.eu/eli/reg/2022/2554/oj/eng" TargetMode="External"/><Relationship Id="rId13" Type="http://schemas.openxmlformats.org/officeDocument/2006/relationships/hyperlink" Target="https://eur-lex.europa.eu/eli/reg_impl/2024/2956/oj/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Linked AI supplier register example</dc:title>
  <dc:subject>DORA register: an AI supplier worked example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