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/>
      </w:pPr>
      <w:r>
        <w:drawing>
          <wp:inline xmlns:a="http://schemas.openxmlformats.org/drawingml/2006/main" xmlns:pic="http://schemas.openxmlformats.org/drawingml/2006/picture">
            <wp:extent cx="987552" cy="289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na-logo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289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b w:val="0"/>
        </w:rPr>
        <w:t>DORA AI contract gap exercise</w:t>
      </w:r>
    </w:p>
    <w:p>
      <w:r>
        <w:rPr>
          <w:b w:val="0"/>
        </w:rPr>
        <w:t>Financial-entity legal, procurement and ICT risk teams</w:t>
      </w:r>
    </w:p>
    <w:p>
      <w:pPr>
        <w:spacing w:after="280"/>
      </w:pPr>
      <w:hyperlink r:id="rId10">
        <w:r>
          <w:rPr>
            <w:color w:val="6412A6"/>
            <w:u w:val="single"/>
          </w:rPr>
          <w:t>Read the complete guide on aona.ai</w:t>
        </w:r>
      </w:hyperlink>
    </w:p>
    <w:p>
      <w:r>
        <w:rPr>
          <w:b w:val="0"/>
        </w:rPr>
        <w:t>Start with the ICT service and the function it supports. DORA Article 30 specifies general contract terms and additional requirements where a service supports a critical or important function. Compare the actual agreement with the applicable layer; a supplier’s “DORA-ready” statement is not a contractual right.</w:t>
      </w:r>
    </w:p>
    <w:p>
      <w:r>
        <w:rPr>
          <w:b w:val="0"/>
        </w:rPr>
        <w:t>Invented supplier clauses illustrate how a financial entity separates general requirements from additional critical-function provisions.</w:t>
      </w:r>
    </w:p>
    <w:p>
      <w:r>
        <w:rPr>
          <w:b w:val="0"/>
        </w:rPr>
        <w:t>Synthetic contract positions and review findings. No actual vendor clause, negotiated right or legal approval is represented.</w:t>
      </w:r>
    </w:p>
    <w:p>
      <w:pPr>
        <w:pStyle w:val="Heading1"/>
        <w:keepNext/>
      </w:pPr>
      <w:r>
        <w:t>Your review</w:t>
      </w:r>
    </w:p>
    <w:p>
      <w:r>
        <w:rPr>
          <w:b w:val="0"/>
        </w:rPr>
        <w:t>Reviewer: ____________________    Date: ____________________</w:t>
      </w:r>
    </w:p>
    <w:p>
      <w:r>
        <w:rPr>
          <w:b w:val="0"/>
        </w:rPr>
        <w:t>Organisation or team: _____________________________________</w:t>
      </w:r>
    </w:p>
    <w:p>
      <w:pPr>
        <w:keepNext/>
        <w:spacing w:before="200" w:after="60"/>
      </w:pPr>
      <w:sdt>
        <w:sdtPr>
          <w:tag w:val="aona-check:layer"/>
          <w:id w:val="1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Resolve the applicable layer</w:t>
      </w:r>
    </w:p>
    <w:p>
      <w:r>
        <w:rPr>
          <w:b w:val="0"/>
        </w:rPr>
        <w:t>Connect the ICT service to the documented function assessment and relevant Article 30 provisions.</w:t>
      </w:r>
    </w:p>
    <w:p>
      <w:pPr>
        <w:keepNext/>
        <w:spacing w:before="200" w:after="60"/>
      </w:pPr>
      <w:sdt>
        <w:sdtPr>
          <w:tag w:val="aona-check:clause"/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Keep the contractual evidence</w:t>
      </w:r>
    </w:p>
    <w:p>
      <w:r>
        <w:rPr>
          <w:b w:val="0"/>
        </w:rPr>
        <w:t>Record actual clause references, incorporated documents, gaps and negotiated changes.</w:t>
      </w:r>
    </w:p>
    <w:p>
      <w:pPr>
        <w:keepNext/>
        <w:spacing w:before="200" w:after="60"/>
      </w:pPr>
      <w:sdt>
        <w:sdtPr>
          <w:tag w:val="aona-check:operate"/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Check the operational handoff</w:t>
      </w:r>
    </w:p>
    <w:p>
      <w:r>
        <w:rPr>
          <w:b w:val="0"/>
        </w:rPr>
        <w:t>Assign owners for notices, incidents, evidence access and exit rather than relying on contract labels alone.</w:t>
      </w:r>
    </w:p>
    <w:p>
      <w:r>
        <w:rPr>
          <w:b w:val="0"/>
        </w:rPr>
        <w:t>Checked items record your review, not a compliance approval or an installed-product test result.</w:t>
      </w:r>
    </w:p>
    <w:p>
      <w:pPr>
        <w:pStyle w:val="Heading2"/>
        <w:keepNext/>
      </w:pPr>
      <w:r>
        <w:t>Notes and next actions</w:t>
      </w:r>
    </w:p>
    <w:p>
      <w:pPr>
        <w:spacing w:after="200"/>
      </w:pPr>
      <w:r>
        <w:rPr>
          <w:b/>
        </w:rPr>
        <w:t xml:space="preserve">Decision and scope: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Evidence to collect: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Owner and next review date: </w:t>
      </w:r>
      <w:r>
        <w:t>_____________________________________________</w:t>
      </w:r>
    </w:p>
    <w:p>
      <w:pPr>
        <w:pStyle w:val="Heading1"/>
        <w:keepNext/>
      </w:pPr>
      <w:r>
        <w:t>Review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DORA requirement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Invented supplier position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Gap or question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30(2): service and locations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“Processing may occur wherever we choose.”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Identify service/data locations and the required advance change notice.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30(2): incident assistance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“Emergency support is charged at our future rate.”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How will the no-additional-cost or cost condition agreed in advance be addressed?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30(2): data access and return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“Access ends immediately on termination.”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What arrangements support required access, recovery and return in an accessible format?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30(3): critical-function performance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“We aim to provide a reliable service.”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Where are the necessary quantitative/qualitative targets and material-development reporting?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30(3): critical-function monitoring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“A marketing certificate is our only assurance.”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How do the applicable access, inspection, audit and cooperation provisions operate?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30(3): critical-function exit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“No transition service is available.”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What adequate transition period and migration support are required for this function?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Scope and qualifications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The fictional function classification has not been decided.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Resolve applicability before treating every additional provision as mandatory for this case.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Match the clause to the layer</w:t>
      </w:r>
    </w:p>
    <w:p>
      <w:pPr>
        <w:pStyle w:val="ListBullet"/>
      </w:pPr>
      <w:r>
        <w:rPr>
          <w:b/>
        </w:rPr>
        <w:t xml:space="preserve">General ICT arrangement: </w:t>
      </w:r>
      <w:r>
        <w:t>Service, locations, data, incident help and termination</w:t>
      </w:r>
    </w:p>
    <w:p>
      <w:pPr>
        <w:pStyle w:val="ListBullet"/>
      </w:pPr>
      <w:r>
        <w:rPr>
          <w:b/>
        </w:rPr>
        <w:t xml:space="preserve">Critical or important function: </w:t>
      </w:r>
      <w:r>
        <w:t>Additional performance, monitoring, testing and transition provisions</w:t>
      </w:r>
    </w:p>
    <w:p>
      <w:pPr>
        <w:pStyle w:val="ListBullet"/>
      </w:pPr>
      <w:r>
        <w:rPr>
          <w:b/>
        </w:rPr>
        <w:t xml:space="preserve">Actual agreement: </w:t>
      </w:r>
      <w:r>
        <w:t>Clause references, qualifications and unresolved gaps</w:t>
      </w:r>
    </w:p>
    <w:p>
      <w:pPr>
        <w:pStyle w:val="Heading3"/>
        <w:keepNext/>
      </w:pPr>
      <w:r>
        <w:t>Fictional negotiation note</w:t>
      </w:r>
    </w:p>
    <w:p>
      <w:r>
        <w:rPr>
          <w:b w:val="0"/>
        </w:rPr>
        <w:t>Arrangement: CONTRACT-EX-21, invented AI drafting service.</w:t>
        <w:br/>
        <w:t>Observed example gaps: undefined processing locations, unspecified incident-support charges and no transition assistance.</w:t>
        <w:br/>
        <w:t>Next review: establish actual function criticality and compare the complete agreement with the applicable Article 30 layer.</w:t>
      </w:r>
    </w:p>
    <w:p>
      <w:r>
        <w:rPr>
          <w:b w:val="0"/>
        </w:rPr>
        <w:t>The quoted positions are invented teaching clauses, not statements about Aona or any named AI vendor. They are not proposed final legal language.</w:t>
      </w:r>
    </w:p>
    <w:p>
      <w:pPr>
        <w:pStyle w:val="Heading1"/>
        <w:keepNext/>
      </w:pPr>
      <w:r>
        <w:t>Sources and scope</w:t>
      </w:r>
    </w:p>
    <w:p>
      <w:pPr>
        <w:pStyle w:val="SourceNote"/>
        <w:keepNext/>
      </w:pPr>
      <w:r>
        <w:rPr>
          <w:b w:val="0"/>
        </w:rPr>
        <w:t>Sources checked 2026-09-21. Review the current requirements and your actual agreement before using this workbook for a real decision. General information, not professional approval or a completed control test. It does not negotiate DORA clauses, classify critical functions or guarantee regulatory compliance.</w:t>
      </w:r>
    </w:p>
    <w:p>
      <w:pPr>
        <w:pStyle w:val="SourceNote"/>
        <w:keepNext w:val="0"/>
      </w:pPr>
      <w:hyperlink r:id="rId12">
        <w:r>
          <w:rPr>
            <w:color w:val="6412A6"/>
            <w:u w:val="single"/>
          </w:rPr>
          <w:t>DORA Article 30: Key contractual provisions</w:t>
        </w:r>
      </w:hyperlink>
      <w:r>
        <w:t>. General ICT contract requirements and the additional obligations for services supporting critical or important functions, including audit and transition provisions.</w:t>
      </w:r>
    </w:p>
    <w:sectPr w:rsidR="00FC693F" w:rsidRPr="0006063C" w:rsidSect="00034616">
      <w:footerReference w:type="default" r:id="rId11"/>
      <w:pgSz w:w="11909" w:h="16834"/>
      <w:pgMar w:top="950" w:right="1008" w:bottom="922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77" w:val="right"/>
      </w:tabs>
      <w:jc w:val="left"/>
    </w:pPr>
    <w:r>
      <w:rPr>
        <w:color w:val="776381"/>
        <w:sz w:val="16"/>
      </w:rPr>
      <w:t>aona.ai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6" w:lineRule="auto"/>
    </w:pPr>
    <w:rPr>
      <w:rFonts w:ascii="Arial" w:hAnsi="Arial"/>
      <w:color w:val="3024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160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40" w:after="160"/>
      <w:outlineLvl w:val="2"/>
    </w:pPr>
    <w:rPr>
      <w:rFonts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basedOn w:val="Normal"/>
    <w:pPr>
      <w:spacing w:line="259" w:lineRule="auto" w:after="10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ona.ai/resources/guides/dora-ai-saas-contract-checklist/" TargetMode="External"/><Relationship Id="rId11" Type="http://schemas.openxmlformats.org/officeDocument/2006/relationships/footer" Target="footer1.xml"/><Relationship Id="rId12" Type="http://schemas.openxmlformats.org/officeDocument/2006/relationships/hyperlink" Target="https://eur-lex.europa.eu/eli/reg/2022/2554/oj/e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DORA AI contract gap exercise</dc:title>
  <dc:subject>DORA AI supplier contracts: what to check</dc:subject>
  <dc:creator>Aona</dc:creator>
  <cp:keywords>AI security review workbook</cp:keywords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