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NIS2 AI supplier dossier</w:t>
      </w:r>
    </w:p>
    <w:p>
      <w:r>
        <w:rPr>
          <w:b w:val="0"/>
        </w:rPr>
        <w:t>Security leaders, legal teams and procurement at potentially covered EU entities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NIS2 is a directive implemented through national law. First establish the entity, sector, size and relevant jurisdiction, then assess the AI supplier’s role and risks under the applicable requirements. Article 21 includes direct-supplier security, but a generic AI subscription does not establish the customer’s or vendor’s legal status.</w:t>
      </w:r>
    </w:p>
    <w:p>
      <w:r>
        <w:rPr>
          <w:b w:val="0"/>
        </w:rPr>
        <w:t>A fictional manufacturing company evaluates an external drafting service. The dossier keeps the applicability decision separate from supplier-control evidence.</w:t>
      </w:r>
    </w:p>
    <w:p>
      <w:r>
        <w:rPr>
          <w:b w:val="0"/>
        </w:rPr>
        <w:t>Synthetic company, staffing figures, supplier and proposed use. No actual national-law classification, supplier audit or test result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law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Resolve jurisdiction and entity facts</w:t>
      </w:r>
    </w:p>
    <w:p>
      <w:r>
        <w:rPr>
          <w:b w:val="0"/>
        </w:rPr>
        <w:t>Identify actual national implementation, sector, size/group and service-specific conditions.</w:t>
      </w:r>
    </w:p>
    <w:p>
      <w:pPr>
        <w:keepNext/>
        <w:spacing w:before="200" w:after="60"/>
      </w:pPr>
      <w:sdt>
        <w:sdtPr>
          <w:tag w:val="aona-check:supplier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Evaluate the direct supplier</w:t>
      </w:r>
    </w:p>
    <w:p>
      <w:r>
        <w:rPr>
          <w:b w:val="0"/>
        </w:rPr>
        <w:t>Ask for relevant secure-development, vulnerability, incident and access-control evidence.</w:t>
      </w:r>
    </w:p>
    <w:p>
      <w:pPr>
        <w:keepNext/>
        <w:spacing w:before="200" w:after="60"/>
      </w:pPr>
      <w:sdt>
        <w:sdtPr>
          <w:tag w:val="aona-check:decision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Document scope and follow-up</w:t>
      </w:r>
    </w:p>
    <w:p>
      <w:r>
        <w:rPr>
          <w:b w:val="0"/>
        </w:rPr>
        <w:t>Separate the legal conclusion, supplier evidence and observed control results with accountable owners.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Dossier field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Populated fictional fact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Evidence or decision needed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Entity and establishment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Example Components SAS, established in France, 300 staff in the exercise.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Legal owner verifies the actual sector, size/group rules and French implementing requirements.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Proposed service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External AI drafting for internal support instructions.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Business owner records the task, users and permitted data.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Connection and data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Initial proposal includes repository access; first evaluation removes that connection.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Security verifies actual permissions and data paths before any real deployment.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Supplier security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verified development, vulnerability or incident evidence exists in the fictional proposal.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Procurement obtains service-specific evidence and assigns follow-up questions.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Continuity and dependency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Manual drafting is available in the example.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Operational owner assesses real outage effects rather than assuming the fallback settles risk.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Applicable duties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Entity/national-law conclusion is not established by this exercise.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the actual legal basis and any sector-specific interaction before claiming compliance.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Interim decision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invented instructions only while material questions are resolved.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represent the teaching evaluation as approval for real company data.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Two parallel questions</w:t>
      </w:r>
    </w:p>
    <w:p>
      <w:pPr>
        <w:pStyle w:val="ListBullet"/>
      </w:pPr>
      <w:r>
        <w:rPr>
          <w:b/>
        </w:rPr>
        <w:t xml:space="preserve">Applicability: </w:t>
      </w:r>
      <w:r>
        <w:t>Entity, activities, country and national law</w:t>
      </w:r>
    </w:p>
    <w:p>
      <w:pPr>
        <w:pStyle w:val="ListBullet"/>
      </w:pPr>
      <w:r>
        <w:rPr>
          <w:b/>
        </w:rPr>
        <w:t xml:space="preserve">Supplier risk: </w:t>
      </w:r>
      <w:r>
        <w:t>Service, access, vulnerabilities and dependency</w:t>
      </w:r>
    </w:p>
    <w:p>
      <w:pPr>
        <w:pStyle w:val="ListBullet"/>
      </w:pPr>
      <w:r>
        <w:rPr>
          <w:b/>
        </w:rPr>
        <w:t xml:space="preserve">Decision: </w:t>
      </w:r>
      <w:r>
        <w:t>Actual scope, controls, owners and evidence</w:t>
      </w:r>
    </w:p>
    <w:p>
      <w:pPr>
        <w:pStyle w:val="Heading3"/>
        <w:keepNext/>
      </w:pPr>
      <w:r>
        <w:t>Fictional evidence requests</w:t>
      </w:r>
    </w:p>
    <w:p>
      <w:pPr>
        <w:pStyle w:val="ListBullet"/>
      </w:pPr>
      <w:r>
        <w:rPr>
          <w:b w:val="0"/>
        </w:rPr>
        <w:t>Legal: which national implementation and entity criteria govern Example Components SAS?</w:t>
      </w:r>
    </w:p>
    <w:p>
      <w:pPr>
        <w:pStyle w:val="ListBullet"/>
      </w:pPr>
      <w:r>
        <w:rPr>
          <w:b w:val="0"/>
        </w:rPr>
        <w:t>Procurement: which legal supplier and service terms apply, including onward dependencies?</w:t>
      </w:r>
    </w:p>
    <w:p>
      <w:pPr>
        <w:pStyle w:val="ListBullet"/>
      </w:pPr>
      <w:r>
        <w:rPr>
          <w:b w:val="0"/>
        </w:rPr>
        <w:t>Security: what access does the repository connection grant, and can the initial task run without it?</w:t>
      </w:r>
    </w:p>
    <w:p>
      <w:pPr>
        <w:pStyle w:val="ListBullet"/>
      </w:pPr>
      <w:r>
        <w:rPr>
          <w:b w:val="0"/>
        </w:rPr>
        <w:t>Operations: what happens if the drafting service becomes unavailable or produces an incorrect result?</w:t>
      </w:r>
    </w:p>
    <w:p>
      <w:pPr>
        <w:pStyle w:val="Heading3"/>
        <w:keepNext/>
      </w:pPr>
      <w:r>
        <w:t>Teaching disposition</w:t>
      </w:r>
    </w:p>
    <w:p>
      <w:r>
        <w:rPr>
          <w:b w:val="0"/>
        </w:rPr>
        <w:t>Restrict this exercise to invented internal instructions with no repository connection. Obtain actual legal and supplier evidence before a real-data decision. No national law or supplier assurance has been invented for the scenario.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does not classify an entity under NIS2, certify a supplier or replace the broader risk-management programme.</w:t>
      </w:r>
    </w:p>
    <w:p>
      <w:pPr>
        <w:pStyle w:val="SourceNote"/>
        <w:keepNext w:val="0"/>
      </w:pPr>
      <w:hyperlink r:id="rId12">
        <w:r>
          <w:rPr>
            <w:color w:val="6412A6"/>
            <w:u w:val="single"/>
          </w:rPr>
          <w:t>NIS2: Directive (EU) 2022/2555</w:t>
        </w:r>
      </w:hyperlink>
      <w:r>
        <w:t>. Directive scope and Article 21 risk-management and direct-supplier security considerations, implemented through applicable national law.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nis2-employee-ai-supplier-review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eur-lex.europa.eu/eli/dir/2022/2555/oj/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NIS2 AI supplier dossier</dc:title>
  <dc:subject>NIS2 supplier checks for employee AI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