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Linked-identifier review exercise</w:t>
      </w:r>
    </w:p>
    <w:p>
      <w:r>
        <w:rPr>
          <w:b w:val="0"/>
        </w:rPr>
        <w:t>DPOs, data owners and security teams preparing AI inputs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Replacing a name with a token does not establish anonymity. Assess the additional information and means reasonably likely to identify a person in the actual context. Pseudonymisation can reduce risk while personal-data obligations remain relevant; a label such as anonymised is not the legal decision.</w:t>
      </w:r>
    </w:p>
    <w:p>
      <w:r>
        <w:rPr>
          <w:b w:val="0"/>
        </w:rPr>
        <w:t>Read the synthetic tokenised data, separate key and recipient context together. Then explain which links remain and what the task actually needs.</w:t>
      </w:r>
    </w:p>
    <w:p>
      <w:r>
        <w:rPr>
          <w:b w:val="0"/>
        </w:rPr>
        <w:t>All people, roles and events are invented. No legal anonymity determination or re-identification of a real person has occurred.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links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Inventory the remaining links</w:t>
      </w:r>
    </w:p>
    <w:p>
      <w:r>
        <w:rPr>
          <w:b w:val="0"/>
        </w:rPr>
        <w:t>Include keys, stable identifiers, distinctive attributes and other accessible information.</w:t>
      </w:r>
    </w:p>
    <w:p>
      <w:pPr>
        <w:keepNext/>
        <w:spacing w:before="200" w:after="60"/>
      </w:pPr>
      <w:sdt>
        <w:sdtPr>
          <w:tag w:val="aona-check:recipient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Assess the actual context</w:t>
      </w:r>
    </w:p>
    <w:p>
      <w:r>
        <w:rPr>
          <w:b w:val="0"/>
        </w:rPr>
        <w:t>Consider realistic means, time, cost and available technology for the relevant parties.</w:t>
      </w:r>
    </w:p>
    <w:p>
      <w:pPr>
        <w:keepNext/>
        <w:spacing w:before="200" w:after="60"/>
      </w:pPr>
      <w:sdt>
        <w:sdtPr>
          <w:tag w:val="aona-check:decision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the data-specific conclusion</w:t>
      </w:r>
    </w:p>
    <w:p>
      <w:r>
        <w:rPr>
          <w:b w:val="0"/>
        </w:rPr>
        <w:t>Keep the version, assumptions, recipients and legal reasoning separate from a tool’s transformation label.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Representation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Synthetic content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Reasoning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Original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Mara Example and Elliot Example have invented feedback records.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Direct identity is present in the teaching data.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Tokenised working file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P-01 and P-02 replace the names.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transformation removes visible names but retains stable links.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Separate linkage key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P-01 maps to Mara Example; P-02 to Elliot Example.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holder of this key can attribute the records.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Context without the key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P-01 is described as the only facilitator at a specific invented event.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Distinctive contextual information may provide another identification route.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Reduced-detail alternative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General feedback themes with no token or unique event detail.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May meet the wording task; no real anonymity conclusion is established by this example.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Recipient assessment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Available information and realistic linking means must be assessed.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assume every recipient can identify equally, or that none can identify without the key.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A name can move without the link disappearing</w:t>
      </w:r>
    </w:p>
    <w:p>
      <w:pPr>
        <w:pStyle w:val="ListBullet"/>
      </w:pPr>
      <w:r>
        <w:rPr>
          <w:b/>
        </w:rPr>
        <w:t xml:space="preserve">Original: </w:t>
      </w:r>
      <w:r>
        <w:t>Mara Example + feedback</w:t>
      </w:r>
    </w:p>
    <w:p>
      <w:pPr>
        <w:pStyle w:val="ListBullet"/>
      </w:pPr>
      <w:r>
        <w:rPr>
          <w:b/>
        </w:rPr>
        <w:t xml:space="preserve">Working file: </w:t>
      </w:r>
      <w:r>
        <w:t>P-01 + distinctive event context</w:t>
      </w:r>
    </w:p>
    <w:p>
      <w:pPr>
        <w:pStyle w:val="ListBullet"/>
      </w:pPr>
      <w:r>
        <w:rPr>
          <w:b/>
        </w:rPr>
        <w:t xml:space="preserve">Separate key: </w:t>
      </w:r>
      <w:r>
        <w:t>P-01 → Mara Example</w:t>
      </w:r>
    </w:p>
    <w:p>
      <w:r>
        <w:rPr>
          <w:b w:val="0"/>
        </w:rPr>
        <w:t>All information is synthetic.</w:t>
      </w:r>
    </w:p>
    <w:p>
      <w:pPr>
        <w:pStyle w:val="ListBullet"/>
      </w:pPr>
      <w:r>
        <w:rPr>
          <w:b/>
        </w:rPr>
        <w:t xml:space="preserve">Alternative: </w:t>
      </w:r>
      <w:r>
        <w:t>General themes without record-level links</w:t>
      </w:r>
    </w:p>
    <w:p>
      <w:pPr>
        <w:pStyle w:val="Heading3"/>
        <w:keepNext/>
      </w:pPr>
      <w:r>
        <w:t>Invented example</w:t>
      </w:r>
    </w:p>
    <w:p>
      <w:r>
        <w:rPr>
          <w:b w:val="0"/>
        </w:rPr>
        <w:t>Original: Mara Example, only facilitator at the fictional Elm Workshop on 3 March 2026, gave feedback about room layout.</w:t>
        <w:br/>
        <w:t>Tokenised: P-01, only facilitator at that same invented workshop/date, gave the same feedback.</w:t>
        <w:br/>
        <w:t>Reduced description: “Participants suggested clearer room signage.”</w:t>
      </w:r>
    </w:p>
    <w:p>
      <w:r>
        <w:rPr>
          <w:b w:val="0"/>
        </w:rPr>
        <w:t>The tokenised version retains a key and contextual clues. The reduced description illustrates minimisation, not a legal finding about a real dataset. The supplied linkage key is for teaching only.</w:t>
      </w:r>
    </w:p>
    <w:p>
      <w:pPr>
        <w:pStyle w:val="Heading1"/>
        <w:keepNext/>
      </w:pPr>
      <w:r>
        <w:t>Synthetic tokenised feedback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token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Context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Feedback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P-01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Only facilitator at fictional Elm Workshop on 2026-03-03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Clearer room signage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P-02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Participant in fictional Elm Workshop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Shorter session instructions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Synthetic linkage key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token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Invented identity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P-01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Mara Example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P-02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Elliot Example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Practice files</w:t>
      </w:r>
    </w:p>
    <w:p>
      <w:r>
        <w:rPr>
          <w:b w:val="0"/>
        </w:rPr>
        <w:t>The complete download pack includes these original working files. Keep their original formats when running or inspecting the examples.</w:t>
      </w:r>
    </w:p>
    <w:p>
      <w:pPr>
        <w:pStyle w:val="ListBullet"/>
      </w:pPr>
      <w:hyperlink r:id="rId12">
        <w:r>
          <w:rPr>
            <w:color w:val="6412A6"/>
            <w:u w:val="single"/>
          </w:rPr>
          <w:t>Synthetic recipient context (synthetic-recipient-context.txt)</w:t>
        </w:r>
      </w:hyperlink>
    </w:p>
    <w:p>
      <w:r>
        <w:rPr>
          <w:b w:val="0"/>
        </w:rPr>
        <w:t>TEACHING CONTEXT ONLY</w:t>
        <w:br/>
        <w:t>The originating organisation holds the synthetic linkage key. A hypothetical recipient might know the unique facilitator role from the invented event programme. Assess those different means explicitly. No real event, person or successful identification is represented.</w:t>
        <w:br/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 does not guarantee legal anonymisation or decide GDPR applicability for every recipient and dataset.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EU GDPR: identifiability and pseudonymisation</w:t>
        </w:r>
      </w:hyperlink>
      <w:r>
        <w:t>. Recitals 26–29 and Article 4 distinguish personal data, additional identifying information and pseudonymisation, considering means reasonably likely to be used.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gdpr-anonymisation-pseudonymisation-ai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aona.ai/resources/decision-assets/c26/synthetic-recipient-context.txt" TargetMode="External"/><Relationship Id="rId13" Type="http://schemas.openxmlformats.org/officeDocument/2006/relationships/hyperlink" Target="https://eur-lex.europa.eu/eli/reg/2016/679/oj/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Linked-identifier review exercise</dc:title>
  <dc:subject>GDPR: can this AI input identify someone?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