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380"/>
      </w:pPr>
      <w:r>
        <w:drawing>
          <wp:inline xmlns:a="http://schemas.openxmlformats.org/drawingml/2006/main" xmlns:pic="http://schemas.openxmlformats.org/drawingml/2006/picture">
            <wp:extent cx="987552" cy="289924"/>
            <wp:docPr id="1" name="Picture 1"/>
            <wp:cNvGraphicFramePr>
              <a:graphicFrameLocks noChangeAspect="1"/>
            </wp:cNvGraphicFramePr>
            <a:graphic>
              <a:graphicData uri="http://schemas.openxmlformats.org/drawingml/2006/picture">
                <pic:pic>
                  <pic:nvPicPr>
                    <pic:cNvPr id="0" name="aona-logo-light.png"/>
                    <pic:cNvPicPr/>
                  </pic:nvPicPr>
                  <pic:blipFill>
                    <a:blip r:embed="rId9"/>
                    <a:stretch>
                      <a:fillRect/>
                    </a:stretch>
                  </pic:blipFill>
                  <pic:spPr>
                    <a:xfrm>
                      <a:off x="0" y="0"/>
                      <a:ext cx="987552" cy="289924"/>
                    </a:xfrm>
                    <a:prstGeom prst="rect"/>
                  </pic:spPr>
                </pic:pic>
              </a:graphicData>
            </a:graphic>
          </wp:inline>
        </w:drawing>
      </w:r>
    </w:p>
    <w:p>
      <w:pPr>
        <w:pStyle w:val="Title"/>
      </w:pPr>
      <w:r>
        <w:rPr>
          <w:b w:val="0"/>
        </w:rPr>
        <w:t>Synthetic AI DLP control-test packet</w:t>
      </w:r>
    </w:p>
    <w:p>
      <w:r>
        <w:rPr>
          <w:b w:val="0"/>
        </w:rPr>
        <w:t>ISMS managers, security engineers and internal control reviewers</w:t>
      </w:r>
    </w:p>
    <w:p>
      <w:pPr>
        <w:spacing w:after="280"/>
      </w:pPr>
      <w:hyperlink r:id="rId10">
        <w:r>
          <w:rPr>
            <w:color w:val="6412A6"/>
            <w:u w:val="single"/>
          </w:rPr>
          <w:t>Read the complete guide on aona.ai</w:t>
        </w:r>
      </w:hyperlink>
    </w:p>
    <w:p>
      <w:r>
        <w:rPr>
          <w:b w:val="0"/>
        </w:rPr>
        <w:t>Start from the control selected within your organisation’s ISMS scope, then document the input path, expected behaviour, actual observation and review decision. An AI security event can support that evidence, but one test does not certify the ISMS or demonstrate every control. Use the applicable standard and Statement of Applicability for formal mapping.</w:t>
      </w:r>
    </w:p>
    <w:p>
      <w:r>
        <w:rPr>
          <w:b w:val="0"/>
        </w:rPr>
        <w:t>AI-DLP-EX-01 is an organisation-defined teaching control. The packet supplies concrete safe fixtures, planned outcomes and a review record with no invented execution.</w:t>
      </w:r>
    </w:p>
    <w:p>
      <w:r>
        <w:rPr>
          <w:b w:val="0"/>
        </w:rPr>
        <w:t>All personal data is invented. Every product observation is not run; the control ID is not an ISO Annex A reference or a certification claim.</w:t>
      </w:r>
    </w:p>
    <w:p>
      <w:pPr>
        <w:pStyle w:val="Heading1"/>
        <w:keepNext/>
      </w:pPr>
      <w:r>
        <w:t>Your review</w:t>
      </w:r>
    </w:p>
    <w:p>
      <w:r>
        <w:rPr>
          <w:b w:val="0"/>
        </w:rPr>
        <w:t>Reviewer: ____________________    Date: ____________________</w:t>
      </w:r>
    </w:p>
    <w:p>
      <w:r>
        <w:rPr>
          <w:b w:val="0"/>
        </w:rPr>
        <w:t>Organisation or team: _____________________________________</w:t>
      </w:r>
    </w:p>
    <w:p>
      <w:pPr>
        <w:keepNext/>
        <w:spacing w:before="200" w:after="60"/>
      </w:pPr>
      <w:sdt>
        <w:sdtPr>
          <w:tag w:val="aona-check:scope"/>
          <w:id w:val="100"/>
          <w14:checkbox>
            <w14:checked w14:val="0"/>
            <w14:checkedState w14:val="2612" w14:font="DejaVu Sans"/>
            <w14:uncheckedState w14:val="2610" w14:font="DejaVu Sans"/>
          </w14:checkbox>
        </w:sdtPr>
        <w:sdtContent>
          <w:r>
            <w:rPr>
              <w:rFonts w:ascii="DejaVu Sans" w:hAnsi="DejaVu Sans"/>
            </w:rPr>
            <w:t>☐</w:t>
          </w:r>
        </w:sdtContent>
      </w:sdt>
      <w:r>
        <w:rPr>
          <w:b/>
        </w:rPr>
        <w:t xml:space="preserve">  Record the exact test scope</w:t>
      </w:r>
    </w:p>
    <w:p>
      <w:r>
        <w:rPr>
          <w:b w:val="0"/>
        </w:rPr>
        <w:t>Name client, OS, application, input type, policy version and intended sensitive category.</w:t>
      </w:r>
    </w:p>
    <w:p>
      <w:pPr>
        <w:keepNext/>
        <w:spacing w:before="200" w:after="60"/>
      </w:pPr>
      <w:sdt>
        <w:sdtPr>
          <w:tag w:val="aona-check:observe"/>
          <w:id w:val="101"/>
          <w14:checkbox>
            <w14:checked w14:val="0"/>
            <w14:checkedState w14:val="2612" w14:font="DejaVu Sans"/>
            <w14:uncheckedState w14:val="2610" w14:font="DejaVu Sans"/>
          </w14:checkbox>
        </w:sdtPr>
        <w:sdtContent>
          <w:r>
            <w:rPr>
              <w:rFonts w:ascii="DejaVu Sans" w:hAnsi="DejaVu Sans"/>
            </w:rPr>
            <w:t>☐</w:t>
          </w:r>
        </w:sdtContent>
      </w:sdt>
      <w:r>
        <w:rPr>
          <w:b/>
        </w:rPr>
        <w:t xml:space="preserve">  Capture actual behaviour</w:t>
      </w:r>
    </w:p>
    <w:p>
      <w:r>
        <w:rPr>
          <w:b w:val="0"/>
        </w:rPr>
        <w:t>Keep expected outcomes separate from observed response, event and exported evidence.</w:t>
      </w:r>
    </w:p>
    <w:p>
      <w:pPr>
        <w:keepNext/>
        <w:spacing w:before="200" w:after="60"/>
      </w:pPr>
      <w:sdt>
        <w:sdtPr>
          <w:tag w:val="aona-check:review"/>
          <w:id w:val="102"/>
          <w14:checkbox>
            <w14:checked w14:val="0"/>
            <w14:checkedState w14:val="2612" w14:font="DejaVu Sans"/>
            <w14:uncheckedState w14:val="2610" w14:font="DejaVu Sans"/>
          </w14:checkbox>
        </w:sdtPr>
        <w:sdtContent>
          <w:r>
            <w:rPr>
              <w:rFonts w:ascii="DejaVu Sans" w:hAnsi="DejaVu Sans"/>
            </w:rPr>
            <w:t>☐</w:t>
          </w:r>
        </w:sdtContent>
      </w:sdt>
      <w:r>
        <w:rPr>
          <w:b/>
        </w:rPr>
        <w:t xml:space="preserve">  Document a reasoned decision</w:t>
      </w:r>
    </w:p>
    <w:p>
      <w:r>
        <w:rPr>
          <w:b w:val="0"/>
        </w:rPr>
        <w:t>Accept only the tested scope, or record failure/missing evidence and the required follow-up.</w:t>
      </w:r>
    </w:p>
    <w:p>
      <w:r>
        <w:rPr>
          <w:b w:val="0"/>
        </w:rPr>
        <w:t>Checked items record your review, not a compliance approval or an installed-product test result.</w:t>
      </w:r>
    </w:p>
    <w:p>
      <w:pPr>
        <w:pStyle w:val="Heading2"/>
        <w:keepNext/>
      </w:pPr>
      <w:r>
        <w:t>Notes and next actions</w:t>
      </w:r>
    </w:p>
    <w:p>
      <w:pPr>
        <w:spacing w:after="200"/>
      </w:pPr>
      <w:r>
        <w:rPr>
          <w:b/>
        </w:rPr>
        <w:t xml:space="preserve">Decision and scope: </w:t>
      </w:r>
      <w:r>
        <w:t>_____________________________________________</w:t>
      </w:r>
    </w:p>
    <w:p>
      <w:pPr>
        <w:spacing w:after="200"/>
      </w:pPr>
      <w:r>
        <w:rPr>
          <w:b/>
        </w:rPr>
        <w:t xml:space="preserve">Evidence to collect: </w:t>
      </w:r>
      <w:r>
        <w:t>_____________________________________________</w:t>
      </w:r>
    </w:p>
    <w:p>
      <w:pPr>
        <w:spacing w:after="200"/>
      </w:pPr>
      <w:r>
        <w:rPr>
          <w:b/>
        </w:rPr>
        <w:t xml:space="preserve">Owner and next review date: </w:t>
      </w:r>
      <w:r>
        <w:t>_____________________________________________</w:t>
      </w:r>
    </w:p>
    <w:p>
      <w:pPr>
        <w:pStyle w:val="Heading1"/>
        <w:keepNext/>
      </w:pPr>
      <w:r>
        <w:t>Review matrix</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473"/>
        <w:gridCol w:w="3710"/>
        <w:gridCol w:w="3710"/>
      </w:tblGrid>
      <w:tr>
        <w:trPr>
          <w:tblHeader/>
          <w:cantSplit/>
        </w:trPr>
        <w:tc>
          <w:tcPr>
            <w:tcW w:type="dxa" w:w="2473"/>
            <w:vAlign w:val="center"/>
            <w:tcMar>
              <w:top w:w="100" w:type="dxa"/>
              <w:bottom w:w="100" w:type="dxa"/>
              <w:left w:w="100" w:type="dxa"/>
              <w:right w:w="100" w:type="dxa"/>
            </w:tcMar>
            <w:shd w:fill="F2E8FA"/>
          </w:tcPr>
          <w:p>
            <w:pPr>
              <w:keepNext w:val="0"/>
              <w:spacing w:after="40" w:before="40" w:line="259" w:lineRule="auto"/>
            </w:pPr>
            <w:r>
              <w:rPr>
                <w:b/>
                <w:color w:val="30243A"/>
                <w:sz w:val="19"/>
              </w:rPr>
              <w:t>Test or evidence</w:t>
            </w:r>
          </w:p>
        </w:tc>
        <w:tc>
          <w:tcPr>
            <w:tcW w:type="dxa" w:w="3710"/>
            <w:vAlign w:val="center"/>
            <w:tcMar>
              <w:top w:w="100" w:type="dxa"/>
              <w:bottom w:w="100" w:type="dxa"/>
              <w:left w:w="100" w:type="dxa"/>
              <w:right w:w="100" w:type="dxa"/>
            </w:tcMar>
            <w:shd w:fill="F2E8FA"/>
          </w:tcPr>
          <w:p>
            <w:pPr>
              <w:keepNext w:val="0"/>
              <w:spacing w:after="40" w:before="40" w:line="259" w:lineRule="auto"/>
            </w:pPr>
            <w:r>
              <w:rPr>
                <w:b/>
                <w:color w:val="30243A"/>
                <w:sz w:val="19"/>
              </w:rPr>
              <w:t>Expected comparison</w:t>
            </w:r>
          </w:p>
        </w:tc>
        <w:tc>
          <w:tcPr>
            <w:tcW w:type="dxa" w:w="3710"/>
            <w:vAlign w:val="center"/>
            <w:tcMar>
              <w:top w:w="100" w:type="dxa"/>
              <w:bottom w:w="100" w:type="dxa"/>
              <w:left w:w="100" w:type="dxa"/>
              <w:right w:w="100" w:type="dxa"/>
            </w:tcMar>
            <w:shd w:fill="F2E8FA"/>
          </w:tcPr>
          <w:p>
            <w:pPr>
              <w:keepNext w:val="0"/>
              <w:spacing w:after="40" w:before="40" w:line="259" w:lineRule="auto"/>
            </w:pPr>
            <w:r>
              <w:rPr>
                <w:b/>
                <w:color w:val="30243A"/>
                <w:sz w:val="19"/>
              </w:rPr>
              <w:t>Observation and review</w:t>
            </w:r>
          </w:p>
        </w:tc>
      </w:tr>
      <w:tr>
        <w:trPr>
          <w:cantSplit/>
        </w:trPr>
        <w:tc>
          <w:tcPr>
            <w:tcW w:type="dxa" w:w="2473"/>
            <w:vAlign w:val="center"/>
            <w:tcMar>
              <w:top w:w="100" w:type="dxa"/>
              <w:bottom w:w="100" w:type="dxa"/>
              <w:left w:w="100" w:type="dxa"/>
              <w:right w:w="100" w:type="dxa"/>
            </w:tcMar>
          </w:tcPr>
          <w:p>
            <w:pPr>
              <w:keepNext w:val="0"/>
              <w:spacing w:after="40" w:before="40" w:line="259" w:lineRule="auto"/>
            </w:pPr>
            <w:r>
              <w:rPr>
                <w:b w:val="0"/>
                <w:color w:val="30243A"/>
                <w:sz w:val="19"/>
              </w:rPr>
              <w:t>Control definition</w:t>
            </w:r>
          </w:p>
        </w:tc>
        <w:tc>
          <w:tcPr>
            <w:tcW w:type="dxa" w:w="3710"/>
            <w:vAlign w:val="center"/>
            <w:tcMar>
              <w:top w:w="100" w:type="dxa"/>
              <w:bottom w:w="100" w:type="dxa"/>
              <w:left w:w="100" w:type="dxa"/>
              <w:right w:w="100" w:type="dxa"/>
            </w:tcMar>
          </w:tcPr>
          <w:p>
            <w:pPr>
              <w:keepNext w:val="0"/>
              <w:spacing w:after="40" w:before="40" w:line="259" w:lineRule="auto"/>
            </w:pPr>
            <w:r>
              <w:rPr>
                <w:b w:val="0"/>
                <w:color w:val="30243A"/>
                <w:sz w:val="19"/>
              </w:rPr>
              <w:t>Protect the agreed sensitive category on the selected installed path.</w:t>
            </w:r>
          </w:p>
        </w:tc>
        <w:tc>
          <w:tcPr>
            <w:tcW w:type="dxa" w:w="3710"/>
            <w:vAlign w:val="center"/>
            <w:tcMar>
              <w:top w:w="100" w:type="dxa"/>
              <w:bottom w:w="100" w:type="dxa"/>
              <w:left w:w="100" w:type="dxa"/>
              <w:right w:w="100" w:type="dxa"/>
            </w:tcMar>
          </w:tcPr>
          <w:p>
            <w:pPr>
              <w:keepNext w:val="0"/>
              <w:spacing w:after="40" w:before="40" w:line="259" w:lineRule="auto"/>
            </w:pPr>
            <w:r>
              <w:rPr>
                <w:b w:val="0"/>
                <w:color w:val="30243A"/>
                <w:sz w:val="19"/>
              </w:rPr>
              <w:t>Design example only; map to the actual ISMS control separately.</w:t>
            </w:r>
          </w:p>
        </w:tc>
      </w:tr>
      <w:tr>
        <w:trPr>
          <w:cantSplit/>
        </w:trPr>
        <w:tc>
          <w:tcPr>
            <w:tcW w:type="dxa" w:w="2473"/>
            <w:vAlign w:val="center"/>
            <w:tcMar>
              <w:top w:w="100" w:type="dxa"/>
              <w:bottom w:w="100" w:type="dxa"/>
              <w:left w:w="100" w:type="dxa"/>
              <w:right w:w="100" w:type="dxa"/>
            </w:tcMar>
            <w:shd w:fill="FAF7FC"/>
          </w:tcPr>
          <w:p>
            <w:pPr>
              <w:keepNext w:val="0"/>
              <w:spacing w:after="40" w:before="40" w:line="259" w:lineRule="auto"/>
            </w:pPr>
            <w:r>
              <w:rPr>
                <w:b w:val="0"/>
                <w:color w:val="30243A"/>
                <w:sz w:val="19"/>
              </w:rPr>
              <w:t>Fixture A: generic text</w:t>
            </w:r>
          </w:p>
        </w:tc>
        <w:tc>
          <w:tcPr>
            <w:tcW w:type="dxa" w:w="3710"/>
            <w:vAlign w:val="center"/>
            <w:tcMar>
              <w:top w:w="100" w:type="dxa"/>
              <w:bottom w:w="100" w:type="dxa"/>
              <w:left w:w="100" w:type="dxa"/>
              <w:right w:w="100" w:type="dxa"/>
            </w:tcMar>
            <w:shd w:fill="FAF7FC"/>
          </w:tcPr>
          <w:p>
            <w:pPr>
              <w:keepNext w:val="0"/>
              <w:spacing w:after="40" w:before="40" w:line="259" w:lineRule="auto"/>
            </w:pPr>
            <w:r>
              <w:rPr>
                <w:b w:val="0"/>
                <w:color w:val="30243A"/>
                <w:sz w:val="19"/>
              </w:rPr>
              <w:t>The agreed benign input should follow the permitted route.</w:t>
            </w:r>
          </w:p>
        </w:tc>
        <w:tc>
          <w:tcPr>
            <w:tcW w:type="dxa" w:w="3710"/>
            <w:vAlign w:val="center"/>
            <w:tcMar>
              <w:top w:w="100" w:type="dxa"/>
              <w:bottom w:w="100" w:type="dxa"/>
              <w:left w:w="100" w:type="dxa"/>
              <w:right w:w="100" w:type="dxa"/>
            </w:tcMar>
            <w:shd w:fill="FAF7FC"/>
          </w:tcPr>
          <w:p>
            <w:pPr>
              <w:keepNext w:val="0"/>
              <w:spacing w:after="40" w:before="40" w:line="259" w:lineRule="auto"/>
            </w:pPr>
            <w:r>
              <w:rPr>
                <w:b w:val="0"/>
                <w:color w:val="30243A"/>
                <w:sz w:val="19"/>
              </w:rPr>
              <w:t>Not run; no operating-effectiveness conclusion.</w:t>
            </w:r>
          </w:p>
        </w:tc>
      </w:tr>
      <w:tr>
        <w:trPr>
          <w:cantSplit/>
        </w:trPr>
        <w:tc>
          <w:tcPr>
            <w:tcW w:type="dxa" w:w="2473"/>
            <w:vAlign w:val="center"/>
            <w:tcMar>
              <w:top w:w="100" w:type="dxa"/>
              <w:bottom w:w="100" w:type="dxa"/>
              <w:left w:w="100" w:type="dxa"/>
              <w:right w:w="100" w:type="dxa"/>
            </w:tcMar>
          </w:tcPr>
          <w:p>
            <w:pPr>
              <w:keepNext w:val="0"/>
              <w:spacing w:after="40" w:before="40" w:line="259" w:lineRule="auto"/>
            </w:pPr>
            <w:r>
              <w:rPr>
                <w:b w:val="0"/>
                <w:color w:val="30243A"/>
                <w:sz w:val="19"/>
              </w:rPr>
              <w:t>Fixture B: invented personal record</w:t>
            </w:r>
          </w:p>
        </w:tc>
        <w:tc>
          <w:tcPr>
            <w:tcW w:type="dxa" w:w="3710"/>
            <w:vAlign w:val="center"/>
            <w:tcMar>
              <w:top w:w="100" w:type="dxa"/>
              <w:bottom w:w="100" w:type="dxa"/>
              <w:left w:w="100" w:type="dxa"/>
              <w:right w:w="100" w:type="dxa"/>
            </w:tcMar>
          </w:tcPr>
          <w:p>
            <w:pPr>
              <w:keepNext w:val="0"/>
              <w:spacing w:after="40" w:before="40" w:line="259" w:lineRule="auto"/>
            </w:pPr>
            <w:r>
              <w:rPr>
                <w:b w:val="0"/>
                <w:color w:val="30243A"/>
                <w:sz w:val="19"/>
              </w:rPr>
              <w:t>Apply the agreed protective policy for the selected category.</w:t>
            </w:r>
          </w:p>
        </w:tc>
        <w:tc>
          <w:tcPr>
            <w:tcW w:type="dxa" w:w="3710"/>
            <w:vAlign w:val="center"/>
            <w:tcMar>
              <w:top w:w="100" w:type="dxa"/>
              <w:bottom w:w="100" w:type="dxa"/>
              <w:left w:w="100" w:type="dxa"/>
              <w:right w:w="100" w:type="dxa"/>
            </w:tcMar>
          </w:tcPr>
          <w:p>
            <w:pPr>
              <w:keepNext w:val="0"/>
              <w:spacing w:after="40" w:before="40" w:line="259" w:lineRule="auto"/>
            </w:pPr>
            <w:r>
              <w:rPr>
                <w:b w:val="0"/>
                <w:color w:val="30243A"/>
                <w:sz w:val="19"/>
              </w:rPr>
              <w:t>Not run; verify the actual response and event.</w:t>
            </w:r>
          </w:p>
        </w:tc>
      </w:tr>
      <w:tr>
        <w:trPr>
          <w:cantSplit/>
        </w:trPr>
        <w:tc>
          <w:tcPr>
            <w:tcW w:type="dxa" w:w="2473"/>
            <w:vAlign w:val="center"/>
            <w:tcMar>
              <w:top w:w="100" w:type="dxa"/>
              <w:bottom w:w="100" w:type="dxa"/>
              <w:left w:w="100" w:type="dxa"/>
              <w:right w:w="100" w:type="dxa"/>
            </w:tcMar>
            <w:shd w:fill="FAF7FC"/>
          </w:tcPr>
          <w:p>
            <w:pPr>
              <w:keepNext w:val="0"/>
              <w:spacing w:after="40" w:before="40" w:line="259" w:lineRule="auto"/>
            </w:pPr>
            <w:r>
              <w:rPr>
                <w:b w:val="0"/>
                <w:color w:val="30243A"/>
                <w:sz w:val="19"/>
              </w:rPr>
              <w:t>Fixture C: appendix content</w:t>
            </w:r>
          </w:p>
        </w:tc>
        <w:tc>
          <w:tcPr>
            <w:tcW w:type="dxa" w:w="3710"/>
            <w:vAlign w:val="center"/>
            <w:tcMar>
              <w:top w:w="100" w:type="dxa"/>
              <w:bottom w:w="100" w:type="dxa"/>
              <w:left w:w="100" w:type="dxa"/>
              <w:right w:w="100" w:type="dxa"/>
            </w:tcMar>
            <w:shd w:fill="FAF7FC"/>
          </w:tcPr>
          <w:p>
            <w:pPr>
              <w:keepNext w:val="0"/>
              <w:spacing w:after="40" w:before="40" w:line="259" w:lineRule="auto"/>
            </w:pPr>
            <w:r>
              <w:rPr>
                <w:b w:val="0"/>
                <w:color w:val="30243A"/>
                <w:sz w:val="19"/>
              </w:rPr>
              <w:t>Evaluate the same category in the selected file/content path.</w:t>
            </w:r>
          </w:p>
        </w:tc>
        <w:tc>
          <w:tcPr>
            <w:tcW w:type="dxa" w:w="3710"/>
            <w:vAlign w:val="center"/>
            <w:tcMar>
              <w:top w:w="100" w:type="dxa"/>
              <w:bottom w:w="100" w:type="dxa"/>
              <w:left w:w="100" w:type="dxa"/>
              <w:right w:w="100" w:type="dxa"/>
            </w:tcMar>
            <w:shd w:fill="FAF7FC"/>
          </w:tcPr>
          <w:p>
            <w:pPr>
              <w:keepNext w:val="0"/>
              <w:spacing w:after="40" w:before="40" w:line="259" w:lineRule="auto"/>
            </w:pPr>
            <w:r>
              <w:rPr>
                <w:b w:val="0"/>
                <w:color w:val="30243A"/>
                <w:sz w:val="19"/>
              </w:rPr>
              <w:t>Not run; do not infer file coverage from the prompt result.</w:t>
            </w:r>
          </w:p>
        </w:tc>
      </w:tr>
      <w:tr>
        <w:trPr>
          <w:cantSplit/>
        </w:trPr>
        <w:tc>
          <w:tcPr>
            <w:tcW w:type="dxa" w:w="2473"/>
            <w:vAlign w:val="center"/>
            <w:tcMar>
              <w:top w:w="100" w:type="dxa"/>
              <w:bottom w:w="100" w:type="dxa"/>
              <w:left w:w="100" w:type="dxa"/>
              <w:right w:w="100" w:type="dxa"/>
            </w:tcMar>
          </w:tcPr>
          <w:p>
            <w:pPr>
              <w:keepNext w:val="0"/>
              <w:spacing w:after="40" w:before="40" w:line="259" w:lineRule="auto"/>
            </w:pPr>
            <w:r>
              <w:rPr>
                <w:b w:val="0"/>
                <w:color w:val="30243A"/>
                <w:sz w:val="19"/>
              </w:rPr>
              <w:t>Evidence reconciliation</w:t>
            </w:r>
          </w:p>
        </w:tc>
        <w:tc>
          <w:tcPr>
            <w:tcW w:type="dxa" w:w="3710"/>
            <w:vAlign w:val="center"/>
            <w:tcMar>
              <w:top w:w="100" w:type="dxa"/>
              <w:bottom w:w="100" w:type="dxa"/>
              <w:left w:w="100" w:type="dxa"/>
              <w:right w:w="100" w:type="dxa"/>
            </w:tcMar>
          </w:tcPr>
          <w:p>
            <w:pPr>
              <w:keepNext w:val="0"/>
              <w:spacing w:after="40" w:before="40" w:line="259" w:lineRule="auto"/>
            </w:pPr>
            <w:r>
              <w:rPr>
                <w:b w:val="0"/>
                <w:color w:val="30243A"/>
                <w:sz w:val="19"/>
              </w:rPr>
              <w:t>Compare client action, event meaning and exported record.</w:t>
            </w:r>
          </w:p>
        </w:tc>
        <w:tc>
          <w:tcPr>
            <w:tcW w:type="dxa" w:w="3710"/>
            <w:vAlign w:val="center"/>
            <w:tcMar>
              <w:top w:w="100" w:type="dxa"/>
              <w:bottom w:w="100" w:type="dxa"/>
              <w:left w:w="100" w:type="dxa"/>
              <w:right w:w="100" w:type="dxa"/>
            </w:tcMar>
          </w:tcPr>
          <w:p>
            <w:pPr>
              <w:keepNext w:val="0"/>
              <w:spacing w:after="40" w:before="40" w:line="259" w:lineRule="auto"/>
            </w:pPr>
            <w:r>
              <w:rPr>
                <w:b w:val="0"/>
                <w:color w:val="30243A"/>
                <w:sz w:val="19"/>
              </w:rPr>
              <w:t>Not run; record missing fields or mismatched scope.</w:t>
            </w:r>
          </w:p>
        </w:tc>
      </w:tr>
      <w:tr>
        <w:trPr>
          <w:cantSplit/>
        </w:trPr>
        <w:tc>
          <w:tcPr>
            <w:tcW w:type="dxa" w:w="2473"/>
            <w:vAlign w:val="center"/>
            <w:tcMar>
              <w:top w:w="100" w:type="dxa"/>
              <w:bottom w:w="100" w:type="dxa"/>
              <w:left w:w="100" w:type="dxa"/>
              <w:right w:w="100" w:type="dxa"/>
            </w:tcMar>
            <w:shd w:fill="FAF7FC"/>
          </w:tcPr>
          <w:p>
            <w:pPr>
              <w:keepNext w:val="0"/>
              <w:spacing w:after="40" w:before="40" w:line="259" w:lineRule="auto"/>
            </w:pPr>
            <w:r>
              <w:rPr>
                <w:b w:val="0"/>
                <w:color w:val="30243A"/>
                <w:sz w:val="19"/>
              </w:rPr>
              <w:t>Reviewer disposition</w:t>
            </w:r>
          </w:p>
        </w:tc>
        <w:tc>
          <w:tcPr>
            <w:tcW w:type="dxa" w:w="3710"/>
            <w:vAlign w:val="center"/>
            <w:tcMar>
              <w:top w:w="100" w:type="dxa"/>
              <w:bottom w:w="100" w:type="dxa"/>
              <w:left w:w="100" w:type="dxa"/>
              <w:right w:w="100" w:type="dxa"/>
            </w:tcMar>
            <w:shd w:fill="FAF7FC"/>
          </w:tcPr>
          <w:p>
            <w:pPr>
              <w:keepNext w:val="0"/>
              <w:spacing w:after="40" w:before="40" w:line="259" w:lineRule="auto"/>
            </w:pPr>
            <w:r>
              <w:rPr>
                <w:b w:val="0"/>
                <w:color w:val="30243A"/>
                <w:sz w:val="19"/>
              </w:rPr>
              <w:t>Accept only supported observations, reject a demonstrated failure, or leave missing evidence unresolved.</w:t>
            </w:r>
          </w:p>
        </w:tc>
        <w:tc>
          <w:tcPr>
            <w:tcW w:type="dxa" w:w="3710"/>
            <w:vAlign w:val="center"/>
            <w:tcMar>
              <w:top w:w="100" w:type="dxa"/>
              <w:bottom w:w="100" w:type="dxa"/>
              <w:left w:w="100" w:type="dxa"/>
              <w:right w:w="100" w:type="dxa"/>
            </w:tcMar>
            <w:shd w:fill="FAF7FC"/>
          </w:tcPr>
          <w:p>
            <w:pPr>
              <w:keepNext w:val="0"/>
              <w:spacing w:after="40" w:before="40" w:line="259" w:lineRule="auto"/>
            </w:pPr>
            <w:r>
              <w:rPr>
                <w:b w:val="0"/>
                <w:color w:val="30243A"/>
                <w:sz w:val="19"/>
              </w:rPr>
              <w:t>Current packet: not accepted as operating evidence because tests were not run.</w:t>
            </w:r>
          </w:p>
        </w:tc>
      </w:tr>
    </w:tbl>
    <w:p>
      <w:pPr>
        <w:spacing w:after="0" w:line="80" w:lineRule="exact"/>
      </w:pPr>
      <w:r>
        <w:rPr>
          <w:sz w:val="2"/>
        </w:rPr>
      </w:r>
    </w:p>
    <w:p>
      <w:pPr>
        <w:pStyle w:val="Heading1"/>
        <w:keepNext/>
      </w:pPr>
      <w:r>
        <w:t>A test plan is not a result</w:t>
      </w:r>
    </w:p>
    <w:p>
      <w:pPr>
        <w:pStyle w:val="ListBullet"/>
      </w:pPr>
      <w:r>
        <w:rPr>
          <w:b/>
        </w:rPr>
        <w:t xml:space="preserve">Control: </w:t>
      </w:r>
      <w:r>
        <w:t>AI-DLP-EX-01, organisation-defined</w:t>
      </w:r>
    </w:p>
    <w:p>
      <w:pPr>
        <w:pStyle w:val="ListBullet"/>
      </w:pPr>
      <w:r>
        <w:rPr>
          <w:b/>
        </w:rPr>
        <w:t xml:space="preserve">Input pair: </w:t>
      </w:r>
      <w:r>
        <w:t>Generic wording versus invented personal record</w:t>
      </w:r>
    </w:p>
    <w:p>
      <w:pPr>
        <w:pStyle w:val="ListBullet"/>
      </w:pPr>
      <w:r>
        <w:rPr>
          <w:b/>
        </w:rPr>
        <w:t xml:space="preserve">Observed: </w:t>
      </w:r>
      <w:r>
        <w:t>Not run</w:t>
      </w:r>
    </w:p>
    <w:p>
      <w:pPr>
        <w:pStyle w:val="ListBullet"/>
      </w:pPr>
      <w:r>
        <w:rPr>
          <w:b/>
        </w:rPr>
        <w:t xml:space="preserve">Review: </w:t>
      </w:r>
      <w:r>
        <w:t>Not accepted as operating evidence</w:t>
      </w:r>
    </w:p>
    <w:p>
      <w:r>
        <w:rPr>
          <w:b w:val="0"/>
        </w:rPr>
        <w:t>Complete the actual scoped test.</w:t>
      </w:r>
    </w:p>
    <w:p>
      <w:pPr>
        <w:pStyle w:val="Heading3"/>
        <w:keepNext/>
      </w:pPr>
      <w:r>
        <w:t>Control record</w:t>
      </w:r>
    </w:p>
    <w:p>
      <w:r>
        <w:rPr>
          <w:b w:val="0"/>
        </w:rPr>
        <w:t>ID: AI-DLP-EX-01, organisation-defined teaching identifier.</w:t>
        <w:br/>
        <w:t>Risk: unnecessary sensitive employee input reaches an external AI service.</w:t>
        <w:br/>
        <w:t>Intended scope: the application, client and input path chosen by the evaluator.</w:t>
        <w:br/>
        <w:t>ISO mapping: use the organisation’s applicable standard and Statement of Applicability; no Annex A number is asserted here.</w:t>
      </w:r>
    </w:p>
    <w:p>
      <w:pPr>
        <w:pStyle w:val="Heading3"/>
        <w:keepNext/>
      </w:pPr>
      <w:r>
        <w:t>Planned runtime outcome</w:t>
      </w:r>
    </w:p>
    <w:p>
      <w:r>
        <w:rPr>
          <w:b w:val="0"/>
        </w:rPr>
        <w:t>Observation: not run.</w:t>
        <w:br/>
        <w:t>Reviewer decision: not accepted as operating evidence.</w:t>
        <w:br/>
        <w:t>Reason: no installed-client observation accompanies this authored test plan.</w:t>
        <w:br/>
        <w:t>Next action: run the authorised synthetic cases and record scope, response and evidence.</w:t>
      </w:r>
    </w:p>
    <w:p>
      <w:r>
        <w:rPr>
          <w:b w:val="0"/>
        </w:rPr>
        <w:t>This is a populated assessment plan, not a successful product test or certification result.</w:t>
      </w:r>
    </w:p>
    <w:p>
      <w:pPr>
        <w:pStyle w:val="Heading1"/>
        <w:keepNext/>
      </w:pPr>
      <w:r>
        <w:t>Synthetic appendix test</w:t>
      </w:r>
    </w:p>
    <w:p>
      <w:r>
        <w:rPr>
          <w:b w:val="0"/>
        </w:rPr>
        <w:t>The main text contains a generic support request.</w:t>
      </w:r>
    </w:p>
    <w:p>
      <w:pPr>
        <w:pStyle w:val="Heading3"/>
        <w:keepNext/>
      </w:pPr>
      <w:r>
        <w:t>Appendix: invented personal details</w:t>
      </w:r>
    </w:p>
    <w:p>
      <w:r>
        <w:rPr>
          <w:b w:val="0"/>
        </w:rPr>
        <w:t>Alex Example, alex.example@example.invalid, TEST-EMP-27.</w:t>
      </w:r>
    </w:p>
    <w:p>
      <w:r>
        <w:rPr>
          <w:b w:val="0"/>
        </w:rPr>
        <w:t>This is safe authored text, not a claim that a particular file format or detector was tested.</w:t>
      </w:r>
    </w:p>
    <w:p>
      <w:pPr>
        <w:pStyle w:val="Heading1"/>
        <w:keepNext/>
      </w:pPr>
      <w:r>
        <w:t>Practice files</w:t>
      </w:r>
    </w:p>
    <w:p>
      <w:r>
        <w:rPr>
          <w:b w:val="0"/>
        </w:rPr>
        <w:t>The complete download pack includes these original working files. Keep their original formats when running or inspecting the examples.</w:t>
      </w:r>
    </w:p>
    <w:p>
      <w:pPr>
        <w:pStyle w:val="ListBullet"/>
      </w:pPr>
      <w:hyperlink r:id="rId12">
        <w:r>
          <w:rPr>
            <w:color w:val="6412A6"/>
            <w:u w:val="single"/>
          </w:rPr>
          <w:t>Fixture a generic (fixture-a-generic.txt)</w:t>
        </w:r>
      </w:hyperlink>
    </w:p>
    <w:p>
      <w:r>
        <w:rPr>
          <w:b w:val="0"/>
        </w:rPr>
        <w:t>SYNTHETIC TEST A</w:t>
        <w:br/>
        <w:t>Please make this generic support message clearer: Contact our team if you need help arranging a meeting. Do not add personal information.</w:t>
        <w:br/>
      </w:r>
    </w:p>
    <w:p>
      <w:pPr>
        <w:pStyle w:val="ListBullet"/>
      </w:pPr>
      <w:hyperlink r:id="rId13">
        <w:r>
          <w:rPr>
            <w:color w:val="6412A6"/>
            <w:u w:val="single"/>
          </w:rPr>
          <w:t>Fixture b invented personal record (fixture-b-invented-personal-record.txt)</w:t>
        </w:r>
      </w:hyperlink>
    </w:p>
    <w:p>
      <w:r>
        <w:rPr>
          <w:b w:val="0"/>
        </w:rPr>
        <w:t>SYNTHETIC TEST B: NO REAL PERSON</w:t>
        <w:br/>
        <w:t>Name: Alex Example</w:t>
        <w:br/>
        <w:t>Email: alex.example@example.invalid</w:t>
        <w:br/>
        <w:t>Employee reference: TEST-EMP-27</w:t>
        <w:br/>
        <w:t>Request: Summarise this invented employee support record.</w:t>
        <w:br/>
      </w:r>
    </w:p>
    <w:p>
      <w:pPr>
        <w:pStyle w:val="Heading1"/>
        <w:keepNext/>
      </w:pPr>
      <w:r>
        <w:t>Sources and scope</w:t>
      </w:r>
    </w:p>
    <w:p>
      <w:pPr>
        <w:pStyle w:val="SourceNote"/>
        <w:keepNext/>
      </w:pPr>
      <w:r>
        <w:rPr>
          <w:b w:val="0"/>
        </w:rPr>
        <w:t>Sources checked 2026-09-21. Review the current requirements and your actual agreement before using this workbook for a real decision. General information, not professional approval or a completed control test. Aona does not certify the customer’s ISMS or establish universal application, file or policy coverage from a single test.</w:t>
      </w:r>
    </w:p>
    <w:p>
      <w:pPr>
        <w:pStyle w:val="SourceNote"/>
        <w:keepNext/>
      </w:pPr>
      <w:hyperlink r:id="rId14">
        <w:r>
          <w:rPr>
            <w:color w:val="6412A6"/>
            <w:u w:val="single"/>
          </w:rPr>
          <w:t>NIST SP 800-53A Rev. 5: Control-assessment overview</w:t>
        </w:r>
      </w:hyperlink>
      <w:r>
        <w:t>. The public overview describes tailored security/privacy control assessment plans and analysis of results. It does not establish an ISO Annex A mapping or an Aona result.</w:t>
      </w:r>
    </w:p>
    <w:p>
      <w:pPr>
        <w:pStyle w:val="SourceNote"/>
        <w:keepNext w:val="0"/>
      </w:pPr>
      <w:hyperlink r:id="rId15">
        <w:r>
          <w:rPr>
            <w:color w:val="6412A6"/>
            <w:u w:val="single"/>
          </w:rPr>
          <w:t>UKAS: Validating management-system certificates</w:t>
        </w:r>
      </w:hyperlink>
      <w:r>
        <w:t>. Independent checks of certificate authenticity, certification-body accreditation and the relevant verification route.</w:t>
      </w:r>
    </w:p>
    <w:sectPr w:rsidR="00FC693F" w:rsidRPr="0006063C" w:rsidSect="00034616">
      <w:footerReference w:type="default" r:id="rId11"/>
      <w:pgSz w:w="11909" w:h="16834"/>
      <w:pgMar w:top="950" w:right="1008" w:bottom="922" w:left="1008" w:header="360"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677" w:val="right"/>
      </w:tabs>
      <w:jc w:val="left"/>
    </w:pPr>
    <w:r>
      <w:rPr>
        <w:color w:val="776381"/>
        <w:sz w:val="16"/>
      </w:rPr>
      <w:t>aona.ai</w:t>
      <w:tab/>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76" w:lineRule="auto"/>
    </w:pPr>
    <w:rPr>
      <w:rFonts w:ascii="Arial" w:hAnsi="Arial"/>
      <w:color w:val="30243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40" w:after="160"/>
      <w:outlineLvl w:val="0"/>
    </w:pPr>
    <w:rPr>
      <w:rFonts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340" w:after="160"/>
      <w:outlineLvl w:val="1"/>
    </w:pPr>
    <w:rPr>
      <w:rFonts w:ascii="Arial" w:hAnsi="Arial"/>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340" w:after="160"/>
      <w:outlineLvl w:val="2"/>
    </w:pPr>
    <w:rPr>
      <w:rFonts w:ascii="Arial" w:hAnsi="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40" w:lineRule="auto" w:before="0"/>
      <w:contextualSpacing/>
    </w:pPr>
    <w:rPr>
      <w:rFonts w:ascii="Arial" w:hAnsi="Arial"/>
      <w:b w:val="0"/>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0"/>
      <w:contextualSpacing/>
    </w:pPr>
    <w:rPr>
      <w:rFonts w:ascii="Arial" w:hAnsi="Arial"/>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00"/>
      <w:contextualSpacing/>
    </w:pPr>
    <w:rPr>
      <w:rFonts w:ascii="Arial" w:hAnsi="Arial"/>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urceNote">
    <w:name w:val="Source Note"/>
    <w:basedOn w:val="Normal"/>
    <w:pPr>
      <w:spacing w:line="259" w:lineRule="auto" w:after="100"/>
    </w:pPr>
    <w:rPr>
      <w:sz w:val="19"/>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yperlink" Target="https://aona.ai/resources/guides/iso27001-ai-dlp-evidence/" TargetMode="External"/><Relationship Id="rId11" Type="http://schemas.openxmlformats.org/officeDocument/2006/relationships/footer" Target="footer1.xml"/><Relationship Id="rId12" Type="http://schemas.openxmlformats.org/officeDocument/2006/relationships/hyperlink" Target="https://aona.ai/resources/decision-assets/c27/fixture-a-generic.txt" TargetMode="External"/><Relationship Id="rId13" Type="http://schemas.openxmlformats.org/officeDocument/2006/relationships/hyperlink" Target="https://aona.ai/resources/decision-assets/c27/fixture-b-invented-personal-record.txt" TargetMode="External"/><Relationship Id="rId14" Type="http://schemas.openxmlformats.org/officeDocument/2006/relationships/hyperlink" Target="https://csrc.nist.gov/pubs/sp/800/53/a/r5/final" TargetMode="External"/><Relationship Id="rId15" Type="http://schemas.openxmlformats.org/officeDocument/2006/relationships/hyperlink" Target="https://www.ukas.com/accreditation/about/validating-ms-certificat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Synthetic AI DLP control-test packet</dc:title>
  <dc:subject>ISO 27001 evidence for employee AI DLP</dc:subject>
  <dc:creator>Aona</dc:creator>
  <cp:keywords>AI security review workbook</cp:keywords>
  <dc:description>generated by python-docx</dc:description>
  <cp:lastModifiedBy/>
  <cp:revision>1</cp:revision>
  <dcterms:created xsi:type="dcterms:W3CDTF">2026-09-21T00:00:00Z</dcterms:created>
  <dcterms:modified xsi:type="dcterms:W3CDTF">2026-09-21T00:00:00Z</dcterms:modified>
  <cp:category/>
</cp:coreProperties>
</file>