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CUI AI service-scope decision tree</w:t>
      </w:r>
    </w:p>
    <w:p>
      <w:r>
        <w:rPr>
          <w:b w:val="0"/>
        </w:rPr>
        <w:t>Defence contractors, CMMC programme owners and security architects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Determine the contract and data scope before sending CUI to an AI service. DFARS cloud requirements and CMMC assessment boundaries concern the actual provider, service and information handled. A commercial privacy promise, zero-retention setting or security-tool installation does not establish permission or provider suitability.</w:t>
      </w:r>
    </w:p>
    <w:p>
      <w:r>
        <w:rPr>
          <w:b w:val="0"/>
        </w:rPr>
        <w:t>A fictional contractor considers AI drafting and a security intermediary. The tree identifies the evidence required before any actual controlled-data use.</w:t>
      </w:r>
    </w:p>
    <w:p>
      <w:r>
        <w:rPr>
          <w:b w:val="0"/>
        </w:rPr>
        <w:t>Synthetic contract and data scenario. The fixture contains no CUI or export-controlled technical information. No provider approval or CMMC assessment result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contract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Establish the contractual data scope</w:t>
      </w:r>
    </w:p>
    <w:p>
      <w:r>
        <w:rPr>
          <w:b w:val="0"/>
        </w:rPr>
        <w:t>Record the originator, applicable clauses, information category and permitted recipients.</w:t>
      </w:r>
    </w:p>
    <w:p>
      <w:pPr>
        <w:keepNext/>
        <w:spacing w:before="200" w:after="60"/>
      </w:pPr>
      <w:sdt>
        <w:sdtPr>
          <w:tag w:val="aona-check:provider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each provider boundary</w:t>
      </w:r>
    </w:p>
    <w:p>
      <w:r>
        <w:rPr>
          <w:b w:val="0"/>
        </w:rPr>
        <w:t>Distinguish cloud/non-cloud, CUI/security protection data and the actual service evidence.</w:t>
      </w:r>
    </w:p>
    <w:p>
      <w:pPr>
        <w:keepNext/>
        <w:spacing w:before="200" w:after="60"/>
      </w:pPr>
      <w:sdt>
        <w:sdtPr>
          <w:tag w:val="aona-check:record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Keep the assessment handoff</w:t>
      </w:r>
    </w:p>
    <w:p>
      <w:r>
        <w:rPr>
          <w:b w:val="0"/>
        </w:rPr>
        <w:t>Connect the data-flow map, system security plan and customer responsibility matrix to the accountable decision.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Question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Finding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Next outcome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Applicable contract and data category established?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or unknown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Resolve with the contract/data owner before transmitting the proposed controlled information.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Information is CUI or covered defense information in scope?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 in the fictional scenario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every storing, processing and transmitting service.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Information falls outside that category?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Yes, established outside for the assessed material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other confidentiality/export obligations; no blanket tool approval follows.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External provider is a cloud service handling covered information?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Obtain evidence for the applicable DFARS cloud requirements and incident obligations.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Level 2 ESP processes CUI or security protection data?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Apply the relevant 170.19(c) provider category and document SSP/service/CRM responsibilities.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security intermediary handles only selected event data?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Data category not established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whether it includes security protection data; do not assume automatic exclusion.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Required service evidence is missing?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Keep the proposed controlled-data path unapproved until the accountable review resolves it.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Unrestricted synthetic fixture only?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it for a scoped test without presenting the result as CUI authorisation.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The boundary includes intermediaries</w:t>
      </w:r>
    </w:p>
    <w:p>
      <w:pPr>
        <w:pStyle w:val="ListBullet"/>
      </w:pPr>
      <w:r>
        <w:rPr>
          <w:b/>
        </w:rPr>
        <w:t xml:space="preserve">Origin: </w:t>
      </w:r>
      <w:r>
        <w:t>Contract and information category</w:t>
      </w:r>
    </w:p>
    <w:p>
      <w:pPr>
        <w:pStyle w:val="ListBullet"/>
      </w:pPr>
      <w:r>
        <w:rPr>
          <w:b/>
        </w:rPr>
        <w:t xml:space="preserve">AI service: </w:t>
      </w:r>
      <w:r>
        <w:t>Processing, storage and provider evidence</w:t>
      </w:r>
    </w:p>
    <w:p>
      <w:pPr>
        <w:pStyle w:val="ListBullet"/>
      </w:pPr>
      <w:r>
        <w:rPr>
          <w:b/>
        </w:rPr>
        <w:t xml:space="preserve">Security service: </w:t>
      </w:r>
      <w:r>
        <w:t>Content or security protection data handled</w:t>
      </w:r>
    </w:p>
    <w:p>
      <w:pPr>
        <w:pStyle w:val="ListBullet"/>
      </w:pPr>
      <w:r>
        <w:rPr>
          <w:b/>
        </w:rPr>
        <w:t xml:space="preserve">Decision: </w:t>
      </w:r>
      <w:r>
        <w:t>SSP/CRM responsibilities and accountable review</w:t>
      </w:r>
    </w:p>
    <w:p>
      <w:pPr>
        <w:pStyle w:val="Heading3"/>
        <w:keepNext/>
      </w:pPr>
      <w:r>
        <w:t>Unrestricted synthetic fixture</w:t>
      </w:r>
    </w:p>
    <w:p>
      <w:r>
        <w:rPr>
          <w:b w:val="0"/>
        </w:rPr>
        <w:t>This is a teaching note about an invented office bracket. It contains no controlled design, dimensions, materials or defence use. Rewrite a generic maintenance reminder without adding technical information.</w:t>
      </w:r>
    </w:p>
    <w:p>
      <w:pPr>
        <w:pStyle w:val="Heading3"/>
        <w:keepNext/>
      </w:pPr>
      <w:r>
        <w:t>Fictional review record</w:t>
      </w:r>
    </w:p>
    <w:p>
      <w:r>
        <w:rPr>
          <w:b w:val="0"/>
        </w:rPr>
        <w:t>Contract reference: CONTRACT-EX-28.</w:t>
        <w:br/>
        <w:t>Controlled-data assumption: a separate proposed record is assumed CUI for the exercise; it is not included in this pack.</w:t>
        <w:br/>
        <w:t>Recipients: proposed AI service and proposed security intermediary.</w:t>
        <w:br/>
        <w:t>Provider evidence: to be obtained for the actual services before real-data use.</w:t>
        <w:br/>
        <w:t>Control test: not run.</w:t>
        <w:br/>
        <w:t>Authorisation to use CUI: none represented.</w:t>
      </w:r>
    </w:p>
    <w:p>
      <w:r>
        <w:rPr>
          <w:b w:val="0"/>
        </w:rPr>
        <w:t>Record actual evidence rather than replacing missing provider requirements with a test result.</w:t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Unrestricted CUI review fixture (unrestricted-cui-review-fixture.txt)</w:t>
        </w:r>
      </w:hyperlink>
    </w:p>
    <w:p>
      <w:r>
        <w:rPr>
          <w:b w:val="0"/>
        </w:rPr>
        <w:t>UNRESTRICTED SYNTHETIC TEACHING INPUT, NOT CUI</w:t>
        <w:br/>
        <w:t>Rewrite a generic office-maintenance reminder. No controlled design, dimensions, materials, customer information or defence application is supplied. Do not invent technical detail.</w:t>
        <w:br/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CUI means controlled unclassified information. ESP means external service provider. SSP means system security plan. CRM means customer responsibility matrix in this service-scope review.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No Aona CMMC certification, FedRAMP status or suitability to receive CUI is asserted. Review its own handling and contractual role before controlled-data use.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DFARS 252.204-7012: Safeguarding covered defense information</w:t>
        </w:r>
      </w:hyperlink>
      <w:r>
        <w:t>. Covered-defense-information scope, applicable NIST requirements and external cloud-service FedRAMP Moderate-equivalent and incident obligations.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32 CFR 170.19: CMMC scoping</w:t>
        </w:r>
      </w:hyperlink>
      <w:r>
        <w:t>. Assessment boundaries and the distinct treatment of cloud/non-cloud external providers processing CUI, security protection data or neither.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ui-ai-assistants-cmmc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c28/unrestricted-cui-review-fixture.txt" TargetMode="External"/><Relationship Id="rId13" Type="http://schemas.openxmlformats.org/officeDocument/2006/relationships/hyperlink" Target="https://www.acquisition.gov/dfars/252.204-7012-safeguarding-covered-defense-information-and-cyber-incident-reporting." TargetMode="External"/><Relationship Id="rId14" Type="http://schemas.openxmlformats.org/officeDocument/2006/relationships/hyperlink" Target="https://www.law.cornell.edu/cfr/text/32/170.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CUI AI service-scope decision tree</dc:title>
  <dc:subject>Can CUI go into an AI assistant?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