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80"/>
      </w:pPr>
      <w:r>
        <w:drawing>
          <wp:inline xmlns:a="http://schemas.openxmlformats.org/drawingml/2006/main" xmlns:pic="http://schemas.openxmlformats.org/drawingml/2006/picture">
            <wp:extent cx="987552" cy="28992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ona-logo-light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87552" cy="2899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rPr>
          <w:b w:val="0"/>
        </w:rPr>
        <w:t>Developer data-path pilot pack</w:t>
      </w:r>
    </w:p>
    <w:p>
      <w:r>
        <w:rPr>
          <w:b w:val="0"/>
        </w:rPr>
        <w:t>CISO and engineering leader</w:t>
      </w:r>
    </w:p>
    <w:p>
      <w:pPr>
        <w:spacing w:after="280"/>
      </w:pPr>
      <w:hyperlink r:id="rId10">
        <w:r>
          <w:rPr>
            <w:color w:val="6412A6"/>
            <w:u w:val="single"/>
          </w:rPr>
          <w:t>Read the complete guide on aona.ai</w:t>
        </w:r>
      </w:hyperlink>
    </w:p>
    <w:p>
      <w:r>
        <w:rPr>
          <w:b w:val="0"/>
        </w:rPr>
        <w:t>Start by mapping how a developer’s task sends data to AI: typed prompts, selected code, repository context, terminal output and connected tools. Approve the data and account, choose controls for each path, then run a small synthetic pilot. A tool name or no-training statement alone does not establish that company data stays within your intended boundary.</w:t>
      </w:r>
    </w:p>
    <w:p>
      <w:r>
        <w:rPr>
          <w:b w:val="0"/>
        </w:rPr>
        <w:t>Select one task, assign its control owners and record a scoped pilot decision.</w:t>
      </w:r>
    </w:p>
    <w:p>
      <w:r>
        <w:rPr>
          <w:b w:val="0"/>
        </w:rPr>
        <w:t>Synthetic planning examples. No installed-product tests or results are included.</w:t>
      </w:r>
    </w:p>
    <w:p>
      <w:pPr>
        <w:pStyle w:val="Heading1"/>
        <w:keepNext/>
      </w:pPr>
      <w:r>
        <w:t>Your review</w:t>
      </w:r>
    </w:p>
    <w:p>
      <w:r>
        <w:rPr>
          <w:b w:val="0"/>
        </w:rPr>
        <w:t>Reviewer: ____________________    Date: ____________________</w:t>
      </w:r>
    </w:p>
    <w:p>
      <w:r>
        <w:rPr>
          <w:b w:val="0"/>
        </w:rPr>
        <w:t>Organisation or team: _____________________________________</w:t>
      </w:r>
    </w:p>
    <w:p>
      <w:pPr>
        <w:keepNext/>
        <w:spacing w:before="200" w:after="60"/>
      </w:pPr>
      <w:sdt>
        <w:sdtPr>
          <w:tag w:val="aona-check:task"/>
          <w:id w:val="100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rPr>
          <w:b/>
        </w:rPr>
        <w:t xml:space="preserve">  Define the task and environment</w:t>
      </w:r>
    </w:p>
    <w:p>
      <w:r>
        <w:rPr>
          <w:b w:val="0"/>
        </w:rPr>
        <w:t>Record the approved account, client/version, OS, execution location and repository owner.</w:t>
      </w:r>
    </w:p>
    <w:p>
      <w:pPr>
        <w:keepNext/>
        <w:spacing w:before="200" w:after="60"/>
      </w:pPr>
      <w:sdt>
        <w:sdtPr>
          <w:tag w:val="aona-check:path"/>
          <w:id w:val="101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rPr>
          <w:b/>
        </w:rPr>
        <w:t xml:space="preserve">  Give every input path an owner</w:t>
      </w:r>
    </w:p>
    <w:p>
      <w:r>
        <w:rPr>
          <w:b w:val="0"/>
        </w:rPr>
        <w:t>Separate client access, provider terms and supported endpoint policy evaluation.</w:t>
      </w:r>
    </w:p>
    <w:p>
      <w:pPr>
        <w:keepNext/>
        <w:spacing w:before="200" w:after="60"/>
      </w:pPr>
      <w:sdt>
        <w:sdtPr>
          <w:tag w:val="aona-check:result"/>
          <w:id w:val="102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rPr>
          <w:b/>
        </w:rPr>
        <w:t xml:space="preserve">  Keep planned and observed results separate</w:t>
      </w:r>
    </w:p>
    <w:p>
      <w:r>
        <w:rPr>
          <w:b w:val="0"/>
        </w:rPr>
        <w:t>Use untested until evidence exists; do not treat a marker as a realistic secret-detector test.</w:t>
      </w:r>
    </w:p>
    <w:p>
      <w:r>
        <w:rPr>
          <w:b w:val="0"/>
        </w:rPr>
        <w:t>Checked items record your review, not a compliance approval or an installed-product test result.</w:t>
      </w:r>
    </w:p>
    <w:p>
      <w:pPr>
        <w:pStyle w:val="Heading2"/>
        <w:keepNext/>
      </w:pPr>
      <w:r>
        <w:t>Notes and next actions</w:t>
      </w:r>
    </w:p>
    <w:p>
      <w:pPr>
        <w:spacing w:after="200"/>
      </w:pPr>
      <w:r>
        <w:rPr>
          <w:b/>
        </w:rPr>
        <w:t xml:space="preserve">Decision and scope: </w:t>
      </w:r>
      <w:r>
        <w:t>_____________________________________________</w:t>
      </w:r>
    </w:p>
    <w:p>
      <w:pPr>
        <w:spacing w:after="200"/>
      </w:pPr>
      <w:r>
        <w:rPr>
          <w:b/>
        </w:rPr>
        <w:t xml:space="preserve">Evidence to collect: </w:t>
      </w:r>
      <w:r>
        <w:t>_____________________________________________</w:t>
      </w:r>
    </w:p>
    <w:p>
      <w:pPr>
        <w:spacing w:after="200"/>
      </w:pPr>
      <w:r>
        <w:rPr>
          <w:b/>
        </w:rPr>
        <w:t xml:space="preserve">Owner and next review date: </w:t>
      </w:r>
      <w:r>
        <w:t>_____________________________________________</w:t>
      </w:r>
    </w:p>
    <w:p>
      <w:pPr>
        <w:pStyle w:val="Heading1"/>
        <w:keepNext/>
      </w:pPr>
      <w:r>
        <w:t>Review matrix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473"/>
        <w:gridCol w:w="3710"/>
        <w:gridCol w:w="3710"/>
      </w:tblGrid>
      <w:tr>
        <w:trPr>
          <w:tblHeader/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Input source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Client/runtime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Recipient and retained copy to review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Synthetic code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Selected editor or CLI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Model destination and transcript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Fake secret marker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Supported test input path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Control boundary before submission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Synthetic test trace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Paste or file upload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Provider request and retained history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Repository marker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Context or file-reading tool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Tool result and downstream context</w:t>
            </w:r>
          </w:p>
        </w:tc>
      </w:tr>
    </w:tbl>
    <w:p>
      <w:pPr>
        <w:spacing w:after="0" w:line="80" w:lineRule="exact"/>
      </w:pPr>
      <w:r>
        <w:rPr>
          <w:sz w:val="2"/>
        </w:rPr>
      </w:r>
    </w:p>
    <w:p>
      <w:pPr>
        <w:pStyle w:val="Heading1"/>
        <w:keepNext/>
      </w:pPr>
      <w:r>
        <w:t>Developer data-path pilot</w:t>
      </w:r>
    </w:p>
    <w:p>
      <w:r>
        <w:rPr>
          <w:b w:val="0"/>
        </w:rPr>
        <w:t>All values are synthetic. Use an isolated test repository and an approved test account. No file runs commands, contacts a service or configures a product.</w:t>
      </w:r>
    </w:p>
    <w:p>
      <w:pPr>
        <w:pStyle w:val="ListNumber"/>
      </w:pPr>
      <w:r>
        <w:rPr>
          <w:b w:val="0"/>
        </w:rPr>
        <w:t>Choose one task in the “Pilot decision” section.</w:t>
      </w:r>
    </w:p>
    <w:p>
      <w:pPr>
        <w:pStyle w:val="ListNumber"/>
      </w:pPr>
      <w:r>
        <w:rPr>
          <w:b w:val="0"/>
        </w:rPr>
        <w:t>Complete the client and owner fields in data-path-register.csv.</w:t>
      </w:r>
    </w:p>
    <w:p>
      <w:pPr>
        <w:pStyle w:val="ListNumber"/>
      </w:pPr>
      <w:r>
        <w:rPr>
          <w:b w:val="0"/>
        </w:rPr>
        <w:t>Select only the relevant labels from synthetic-pilot-markers.json. They are not real credentials and may not trigger a data classifier. Agree a supported test rule or representative safe fixture with its owner.</w:t>
      </w:r>
    </w:p>
    <w:p>
      <w:pPr>
        <w:pStyle w:val="ListNumber"/>
      </w:pPr>
      <w:r>
        <w:rPr>
          <w:b w:val="0"/>
        </w:rPr>
        <w:t>If you manually test an approved AI client, use only these synthetic inputs. Record what actually happened and preserve the exact scope.</w:t>
      </w:r>
    </w:p>
    <w:p>
      <w:pPr>
        <w:pStyle w:val="ListNumber"/>
      </w:pPr>
      <w:r>
        <w:rPr>
          <w:b w:val="0"/>
        </w:rPr>
        <w:t>Route deeper client-specific questions to the linked guides; do not broaden the pilot by adding new accounts or connectors.</w:t>
      </w:r>
    </w:p>
    <w:p>
      <w:pPr>
        <w:pStyle w:val="Heading1"/>
        <w:keepNext/>
      </w:pPr>
      <w:r>
        <w:t>Data path register</w:t>
      </w:r>
    </w:p>
    <w:p>
      <w:r>
        <w:rPr>
          <w:b w:val="0"/>
        </w:rPr>
        <w:t>These records are arranged vertically for reading and printing. The Excel workbook retains the full column layout.</w:t>
      </w:r>
    </w:p>
    <w:p>
      <w:pPr>
        <w:pStyle w:val="Heading3"/>
        <w:keepNext/>
      </w:pPr>
      <w:r>
        <w:t>Record 1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166"/>
        <w:gridCol w:w="6727"/>
      </w:tblGrid>
      <w:tr>
        <w:trPr>
          <w:tblHeader/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Field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Record value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Task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Explain a synthetic test failure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Input source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toy test trace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Input path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pasted log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Data owner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ASSIGN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Client and version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RECORD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Execution location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RECORD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Recipient or destination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RECORD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Retained copy to review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client and provider history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Control boundary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DEFINE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Intended control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SELECT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Expected outcome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DEFINE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Observed outcome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UNTESTED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Evidence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</w:r>
          </w:p>
        </w:tc>
      </w:tr>
    </w:tbl>
    <w:p>
      <w:pPr>
        <w:spacing w:after="0" w:line="80" w:lineRule="exact"/>
      </w:pPr>
      <w:r>
        <w:rPr>
          <w:sz w:val="2"/>
        </w:rPr>
      </w:r>
    </w:p>
    <w:p>
      <w:pPr>
        <w:pStyle w:val="Heading3"/>
        <w:keepNext/>
      </w:pPr>
      <w:r>
        <w:t>Record 2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166"/>
        <w:gridCol w:w="6727"/>
      </w:tblGrid>
      <w:tr>
        <w:trPr>
          <w:tblHeader/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Field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Record value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Task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Explain a synthetic function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Input source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toy function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Input path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selected code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Data owner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ASSIGN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Client and version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RECORD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Execution location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RECORD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Recipient or destination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RECORD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Retained copy to review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client and provider history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Control boundary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DEFINE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Intended control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SELECT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Expected outcome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DEFINE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Observed outcome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UNTESTED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Evidence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</w:r>
          </w:p>
        </w:tc>
      </w:tr>
    </w:tbl>
    <w:p>
      <w:pPr>
        <w:spacing w:after="0" w:line="80" w:lineRule="exact"/>
      </w:pPr>
      <w:r>
        <w:rPr>
          <w:sz w:val="2"/>
        </w:rPr>
      </w:r>
    </w:p>
    <w:p>
      <w:pPr>
        <w:pStyle w:val="Heading3"/>
        <w:keepNext/>
      </w:pPr>
      <w:r>
        <w:t>Record 3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166"/>
        <w:gridCol w:w="6727"/>
      </w:tblGrid>
      <w:tr>
        <w:trPr>
          <w:tblHeader/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Field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Record value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Task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Find a synthetic marker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Input source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fixture folder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Input path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repository context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Data owner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ASSIGN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Client and version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RECORD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Execution location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RECORD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Recipient or destination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RECORD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Retained copy to review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tool result and downstream context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Control boundary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DEFINE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Intended control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SELECT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Expected outcome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DEFINE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Observed outcome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UNTESTED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Evidence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</w:r>
          </w:p>
        </w:tc>
      </w:tr>
    </w:tbl>
    <w:p>
      <w:pPr>
        <w:spacing w:after="0" w:line="80" w:lineRule="exact"/>
      </w:pPr>
      <w:r>
        <w:rPr>
          <w:sz w:val="2"/>
        </w:rPr>
      </w:r>
    </w:p>
    <w:p>
      <w:pPr>
        <w:pStyle w:val="Heading3"/>
        <w:keepNext/>
      </w:pPr>
      <w:r>
        <w:t>Record 4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166"/>
        <w:gridCol w:w="6727"/>
      </w:tblGrid>
      <w:tr>
        <w:trPr>
          <w:tblHeader/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Field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Record value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Task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Review a connected response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Input source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approved synthetic service data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Input path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approved tool only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Data owner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ASSIGN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Client and version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RECORD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Execution location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RECORD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Recipient or destination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RECORD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Retained copy to review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service log and model transcript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Control boundary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DEFINE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Intended control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SELECT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Expected outcome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DEFINE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Observed outcome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UNTESTED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Evidence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</w:r>
          </w:p>
        </w:tc>
      </w:tr>
    </w:tbl>
    <w:p>
      <w:pPr>
        <w:spacing w:after="0" w:line="80" w:lineRule="exact"/>
      </w:pPr>
      <w:r>
        <w:rPr>
          <w:sz w:val="2"/>
        </w:rPr>
      </w:r>
    </w:p>
    <w:p>
      <w:pPr>
        <w:pStyle w:val="Heading1"/>
        <w:keepNext/>
      </w:pPr>
      <w:r>
        <w:t>Synthetic pilot markers</w:t>
      </w:r>
    </w:p>
    <w:p>
      <w:r>
        <w:rPr>
          <w:b w:val="0"/>
        </w:rPr>
        <w:t>Notice: Synthetic labels only. No credential, customer record or test result.</w:t>
      </w:r>
    </w:p>
    <w:p>
      <w:r>
        <w:rPr>
          <w:b w:val="0"/>
        </w:rPr>
        <w:t>Code: def synthetic_total(values): return sum(values)</w:t>
      </w:r>
    </w:p>
    <w:p>
      <w:r>
        <w:rPr>
          <w:b w:val="0"/>
        </w:rPr>
        <w:t>Secret: NOT_A_CREDENTIAL_D01_CANARY</w:t>
      </w:r>
    </w:p>
    <w:p>
      <w:r>
        <w:rPr>
          <w:b w:val="0"/>
        </w:rPr>
        <w:t>Log: SYNTHETIC_D01_TEST_TRACE</w:t>
        <w:br/>
        <w:t xml:space="preserve">  File test_total.py, line 6: synthetic_total(None)</w:t>
        <w:br/>
        <w:t xml:space="preserve">  File example.py, line 2: return sum(values)</w:t>
        <w:br/>
        <w:t>TypeError: NoneType object is not iterable</w:t>
        <w:br/>
        <w:t>Expected test behaviour: return 0 for an empty input; decide separately whether None is valid.</w:t>
      </w:r>
    </w:p>
    <w:p>
      <w:r>
        <w:rPr>
          <w:b w:val="0"/>
        </w:rPr>
        <w:t>Context: SYNTHETIC_D01_CONTEXT_MARKER</w:t>
      </w:r>
    </w:p>
    <w:p>
      <w:pPr>
        <w:pStyle w:val="Heading1"/>
        <w:keepNext/>
      </w:pPr>
      <w:r>
        <w:t>Pilot decision</w:t>
      </w:r>
    </w:p>
    <w:p>
      <w:r>
        <w:rPr>
          <w:b w:val="0"/>
        </w:rPr>
        <w:t>Task: ____________________</w:t>
        <w:br/>
        <w:t>Business purpose: ____________________</w:t>
        <w:br/>
        <w:t>Permitted inputs: ____________________</w:t>
        <w:br/>
        <w:t>Restricted inputs: ____________________</w:t>
        <w:br/>
        <w:t>Account, client/version and OS: ____________________</w:t>
        <w:br/>
        <w:t>Local, remote or cloud execution: ____________________</w:t>
        <w:br/>
        <w:t>Expected control and prerequisite: ____________________</w:t>
        <w:br/>
        <w:t>Observed result: UNTESTED</w:t>
        <w:br/>
        <w:t>Evidence location: ____________________</w:t>
        <w:br/>
        <w:t>Decision: NOT YET REVIEWED</w:t>
        <w:br/>
        <w:t>Owner and review date: ____________________</w:t>
        <w:br/>
        <w:t>Recheck triggers: new client, model, connector, repository location or policy.</w:t>
      </w:r>
    </w:p>
    <w:p>
      <w:pPr>
        <w:pStyle w:val="Heading1"/>
        <w:keepNext/>
      </w:pPr>
      <w:r>
        <w:t>Sources and scope</w:t>
      </w:r>
    </w:p>
    <w:p>
      <w:pPr>
        <w:pStyle w:val="SourceNote"/>
        <w:keepNext/>
      </w:pPr>
      <w:r>
        <w:rPr>
          <w:b w:val="0"/>
        </w:rPr>
        <w:t>Sources checked 2026-09-21. Review the current requirements and your actual agreement before using this workbook for a real decision.  Native controls vary by provider, release and input path. Agent inspection is limited rollout; this pack does not imply agentless cloud protection.</w:t>
      </w:r>
    </w:p>
    <w:p>
      <w:pPr>
        <w:pStyle w:val="SourceNote"/>
        <w:keepNext/>
      </w:pPr>
      <w:hyperlink r:id="rId12">
        <w:r>
          <w:rPr>
            <w:color w:val="6412A6"/>
            <w:u w:val="single"/>
          </w:rPr>
          <w:t>Cursor: Privacy and Data Governance</w:t>
        </w:r>
      </w:hyperlink>
      <w:r>
        <w:t>. Distinguishes local-client data requests, provider handling and cloud-agent environments.</w:t>
      </w:r>
    </w:p>
    <w:p>
      <w:pPr>
        <w:pStyle w:val="SourceNote"/>
        <w:keepNext/>
      </w:pPr>
      <w:hyperlink r:id="rId13">
        <w:r>
          <w:rPr>
            <w:color w:val="6412A6"/>
            <w:u w:val="single"/>
          </w:rPr>
          <w:t>OpenAI: Agent approvals and security</w:t>
        </w:r>
      </w:hyperlink>
      <w:r>
        <w:t>. Separates sandbox, approval and network controls for local and cloud use.</w:t>
      </w:r>
    </w:p>
    <w:p>
      <w:pPr>
        <w:pStyle w:val="SourceNote"/>
        <w:keepNext w:val="0"/>
      </w:pPr>
      <w:hyperlink r:id="rId14">
        <w:r>
          <w:rPr>
            <w:color w:val="6412A6"/>
            <w:u w:val="single"/>
          </w:rPr>
          <w:t>Aona: AI security coverage</w:t>
        </w:r>
      </w:hyperlink>
      <w:r>
        <w:t>. Current public distinction between supported endpoint policy paths and limited-rollout agent inspection.</w:t>
      </w:r>
    </w:p>
    <w:sectPr w:rsidR="00FC693F" w:rsidRPr="0006063C" w:rsidSect="00034616">
      <w:footerReference w:type="default" r:id="rId11"/>
      <w:pgSz w:w="11909" w:h="16834"/>
      <w:pgMar w:top="950" w:right="1008" w:bottom="922" w:left="1008" w:header="360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77" w:val="right"/>
      </w:tabs>
      <w:jc w:val="left"/>
    </w:pPr>
    <w:r>
      <w:rPr>
        <w:color w:val="776381"/>
        <w:sz w:val="16"/>
      </w:rPr>
      <w:t>aona.ai</w:t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40" w:line="276" w:lineRule="auto"/>
    </w:pPr>
    <w:rPr>
      <w:rFonts w:ascii="Arial" w:hAnsi="Arial"/>
      <w:color w:val="30243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40" w:after="160"/>
      <w:outlineLvl w:val="0"/>
    </w:pPr>
    <w:rPr>
      <w:rFonts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40" w:after="160"/>
      <w:outlineLvl w:val="1"/>
    </w:pPr>
    <w:rPr>
      <w:rFonts w:ascii="Arial" w:hAnsi="Arial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340" w:after="160"/>
      <w:outlineLvl w:val="2"/>
    </w:pPr>
    <w:rPr>
      <w:rFonts w:ascii="Arial" w:hAnsi="Arial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60" w:line="240" w:lineRule="auto" w:before="0"/>
      <w:contextualSpacing/>
    </w:pPr>
    <w:rPr>
      <w:rFonts w:ascii="Arial" w:hAnsi="Arial"/>
      <w:b w:val="0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/>
      <w:contextualSpacing/>
    </w:pPr>
    <w:rPr>
      <w:rFonts w:ascii="Arial" w:hAnsi="Arial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100"/>
      <w:contextualSpacing/>
    </w:pPr>
    <w:rPr>
      <w:rFonts w:ascii="Arial" w:hAnsi="Arial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ourceNote">
    <w:name w:val="Source Note"/>
    <w:basedOn w:val="Normal"/>
    <w:pPr>
      <w:spacing w:line="259" w:lineRule="auto" w:after="100"/>
    </w:pPr>
    <w:rPr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yperlink" Target="https://aona.ai/solutions/ai-data-security-for-developers/" TargetMode="External"/><Relationship Id="rId11" Type="http://schemas.openxmlformats.org/officeDocument/2006/relationships/footer" Target="footer1.xml"/><Relationship Id="rId12" Type="http://schemas.openxmlformats.org/officeDocument/2006/relationships/hyperlink" Target="https://cursor.com/docs/enterprise/privacy-and-data-governance" TargetMode="External"/><Relationship Id="rId13" Type="http://schemas.openxmlformats.org/officeDocument/2006/relationships/hyperlink" Target="https://learn.chatgpt.com/docs/agent-approvals-security" TargetMode="External"/><Relationship Id="rId14" Type="http://schemas.openxmlformats.org/officeDocument/2006/relationships/hyperlink" Target="https://aona.ai/resources/ai-security-coverag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Developer data-path pilot pack</dc:title>
  <dc:subject>Protect company data in AI coding</dc:subject>
  <dc:creator>Aona</dc:creator>
  <cp:keywords>AI security review workbook</cp:keywords>
  <dc:description>generated by python-docx</dc:description>
  <cp:lastModifiedBy/>
  <cp:revision>1</cp:revision>
  <dcterms:created xsi:type="dcterms:W3CDTF">2026-09-21T00:00:00Z</dcterms:created>
  <dcterms:modified xsi:type="dcterms:W3CDTF">2026-09-21T00:00:00Z</dcterms:modified>
  <cp:category/>
</cp:coreProperties>
</file>