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Cursor IDE-to-CLI approval worksheet</w:t>
      </w:r>
    </w:p>
    <w:p>
      <w:r>
        <w:rPr>
          <w:b w:val="0"/>
        </w:rPr>
        <w:t>Engineering platform and endpoint IT</w:t>
      </w:r>
    </w:p>
    <w:p>
      <w:pPr>
        <w:spacing w:after="280"/>
      </w:pPr>
      <w:hyperlink r:id="rId10">
        <w:r>
          <w:rPr>
            <w:color w:val="6412A6"/>
            <w:u w:val="single"/>
          </w:rPr>
          <w:t>Read the complete guide on aona.ai</w:t>
        </w:r>
      </w:hyperlink>
    </w:p>
    <w:p>
      <w:r>
        <w:rPr>
          <w:b w:val="0"/>
        </w:rPr>
        <w:t>An approved Cursor IDE does not by itself document the effective settings of a newly introduced CLI. Review the CLI’s authenticated account, organisation controls, configuration, permissions and execution location. Compare the observed values with the IDE approval, then decide what can carry forward and what needs a separate check.</w:t>
      </w:r>
    </w:p>
    <w:p>
      <w:r>
        <w:rPr>
          <w:b w:val="0"/>
        </w:rPr>
        <w:t>Record account, configuration and execution differences before extending an IDE approval.</w:t>
      </w:r>
    </w:p>
    <w:p>
      <w:r>
        <w:rPr>
          <w:b w:val="0"/>
        </w:rPr>
        <w:t>Illustrative client labels only. Effective settings and approval outcomes are unverified.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account"/>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Confirm CLI identity and team</w:t>
      </w:r>
    </w:p>
    <w:p>
      <w:r>
        <w:rPr>
          <w:b w:val="0"/>
        </w:rPr>
        <w:t>Use approved administration evidence; never paste tokens or full authentication files.</w:t>
      </w:r>
    </w:p>
    <w:p>
      <w:pPr>
        <w:keepNext/>
        <w:spacing w:before="200" w:after="60"/>
      </w:pPr>
      <w:sdt>
        <w:sdtPr>
          <w:tag w:val="aona-check:effective"/>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the effective configuration</w:t>
      </w:r>
    </w:p>
    <w:p>
      <w:r>
        <w:rPr>
          <w:b w:val="0"/>
        </w:rPr>
        <w:t>Identify managed, user and project settings relevant to this client.</w:t>
      </w:r>
    </w:p>
    <w:p>
      <w:pPr>
        <w:keepNext/>
        <w:spacing w:before="200" w:after="60"/>
      </w:pPr>
      <w:sdt>
        <w:sdtPr>
          <w:tag w:val="aona-check:decision"/>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Resolve each difference</w:t>
      </w:r>
    </w:p>
    <w:p>
      <w:r>
        <w:rPr>
          <w:b w:val="0"/>
        </w:rPr>
        <w:t>Assign an owner and permitted task scope rather than copying the IDE approval.</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Control</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Approved IDE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Proposed CLI</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Account/team</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Record existing evidence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Verify actual sign-in</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Privacy/admin policy</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 scope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Verify applicability</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Configuration/permissions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Record effective settings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Inspect independently</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location</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 workspace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Local, remote or automation</w:t>
            </w:r>
          </w:p>
        </w:tc>
      </w:tr>
    </w:tbl>
    <w:p>
      <w:pPr>
        <w:spacing w:after="0" w:line="80" w:lineRule="exact"/>
      </w:pPr>
      <w:r>
        <w:rPr>
          <w:sz w:val="2"/>
        </w:rPr>
      </w:r>
    </w:p>
    <w:p>
      <w:pPr>
        <w:pStyle w:val="Heading1"/>
        <w:keepNext/>
      </w:pPr>
      <w:r>
        <w:t>Cursor client approval worksheet</w:t>
      </w:r>
    </w:p>
    <w:p>
      <w:r>
        <w:rPr>
          <w:b w:val="0"/>
        </w:rPr>
        <w:t>This pack is inert and contains no configuration changes, credentials or network calls. It does not establish that IDE settings transfer to a CLI.</w:t>
      </w:r>
    </w:p>
    <w:p>
      <w:r>
        <w:rPr>
          <w:b w:val="0"/>
        </w:rPr>
        <w:t>Use client-comparison.csv with current official documentation and approved administrative evidence. Record only non-secret identifiers and evidence locations. Refer to the separate canary guide for file-access testing and the Privacy Mode guide for provider data terms.</w:t>
      </w:r>
    </w:p>
    <w:p>
      <w:pPr>
        <w:pStyle w:val="Heading1"/>
        <w:keepNext/>
      </w:pPr>
      <w:r>
        <w:t>Client comparison</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Boundary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Account and team</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record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 record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Boundary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record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 record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Boundary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Privacy and administrative policy</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record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 record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Boundary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Managed configuration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record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 record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Boundary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User and project configuration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record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 record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Boundary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Permission mode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record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 record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Boundary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Working directory</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record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 record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8</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Boundary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Inherited environment scope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record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 record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OPEN</w:t>
            </w:r>
          </w:p>
        </w:tc>
      </w:tr>
    </w:tbl>
    <w:p>
      <w:pPr>
        <w:spacing w:after="0" w:line="80" w:lineRule="exact"/>
      </w:pPr>
      <w:r>
        <w:rPr>
          <w:sz w:val="2"/>
        </w:rPr>
      </w:r>
    </w:p>
    <w:p>
      <w:pPr>
        <w:pStyle w:val="Heading3"/>
        <w:keepNext/>
      </w:pPr>
      <w:r>
        <w:t>Record 9</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Boundary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Local or remote execution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record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 record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Decision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OPEN</w:t>
            </w:r>
          </w:p>
        </w:tc>
      </w:tr>
    </w:tbl>
    <w:p>
      <w:pPr>
        <w:spacing w:after="0" w:line="80" w:lineRule="exact"/>
      </w:pPr>
      <w:r>
        <w:rPr>
          <w:sz w:val="2"/>
        </w:rPr>
      </w:r>
    </w:p>
    <w:p>
      <w:pPr>
        <w:pStyle w:val="Heading1"/>
        <w:keepNext/>
      </w:pPr>
      <w:r>
        <w:t>CLI introduction decision</w:t>
      </w:r>
    </w:p>
    <w:p>
      <w:r>
        <w:rPr>
          <w:b w:val="0"/>
        </w:rPr>
        <w:t>Illustrative client labels: APPROVED_IDE_EXAMPLE and PROPOSED_CLI_EXAMPLE. No actual account or policy values are supplied.</w:t>
      </w:r>
    </w:p>
    <w:p>
      <w:r>
        <w:rPr>
          <w:b w:val="0"/>
        </w:rPr>
        <w:t>Permitted tasks: ____________________</w:t>
        <w:br/>
        <w:t>Approved account/team and administrator: ____________________</w:t>
        <w:br/>
        <w:t>Machines or execution environments: ____________________</w:t>
        <w:br/>
        <w:t>CLI version and launch method: ____________________</w:t>
        <w:br/>
        <w:t>Differences resolved: ____________________</w:t>
        <w:br/>
        <w:t>Unresolved differences and owners: ____________________</w:t>
        <w:br/>
        <w:t>Decision: NOT YET REVIEWED</w:t>
        <w:br/>
        <w:t>Review date: ____________________</w:t>
        <w:br/>
        <w:t>Pause/rollback owner: ____________________</w:t>
        <w:br/>
        <w:t>Recheck triggers: version, identity, policy, launch environment, remote workspace.</w:t>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Aona coverage and Cursor administrative controls are separate. Confirm native release, OS, transport and intended CLI action; do not infer universal support.</w:t>
      </w:r>
    </w:p>
    <w:p>
      <w:pPr>
        <w:pStyle w:val="SourceNote"/>
        <w:keepNext/>
      </w:pPr>
      <w:hyperlink r:id="rId12">
        <w:r>
          <w:rPr>
            <w:color w:val="6412A6"/>
            <w:u w:val="single"/>
          </w:rPr>
          <w:t>Cursor: CLI overview</w:t>
        </w:r>
      </w:hyperlink>
      <w:r>
        <w:t>. Establishes the CLI as a distinct client and documents its usage.</w:t>
      </w:r>
    </w:p>
    <w:p>
      <w:pPr>
        <w:pStyle w:val="SourceNote"/>
        <w:keepNext/>
      </w:pPr>
      <w:hyperlink r:id="rId13">
        <w:r>
          <w:rPr>
            <w:color w:val="6412A6"/>
            <w:u w:val="single"/>
          </w:rPr>
          <w:t>Cursor: CLI authentication</w:t>
        </w:r>
      </w:hyperlink>
      <w:r>
        <w:t>. Describes supported CLI authentication paths.</w:t>
      </w:r>
    </w:p>
    <w:p>
      <w:pPr>
        <w:pStyle w:val="SourceNote"/>
        <w:keepNext/>
      </w:pPr>
      <w:hyperlink r:id="rId14">
        <w:r>
          <w:rPr>
            <w:color w:val="6412A6"/>
            <w:u w:val="single"/>
          </w:rPr>
          <w:t>Cursor: CLI configuration</w:t>
        </w:r>
      </w:hyperlink>
      <w:r>
        <w:t>. Documents CLI configuration mechanisms.</w:t>
      </w:r>
    </w:p>
    <w:p>
      <w:pPr>
        <w:pStyle w:val="SourceNote"/>
        <w:keepNext/>
      </w:pPr>
      <w:hyperlink r:id="rId15">
        <w:r>
          <w:rPr>
            <w:color w:val="6412A6"/>
            <w:u w:val="single"/>
          </w:rPr>
          <w:t>Cursor: CLI permissions</w:t>
        </w:r>
      </w:hyperlink>
      <w:r>
        <w:t>. Documents permission configuration for the CLI.</w:t>
      </w:r>
    </w:p>
    <w:p>
      <w:pPr>
        <w:pStyle w:val="SourceNote"/>
        <w:keepNext w:val="0"/>
      </w:pPr>
      <w:hyperlink r:id="rId16">
        <w:r>
          <w:rPr>
            <w:color w:val="6412A6"/>
            <w:u w:val="single"/>
          </w:rPr>
          <w:t>Cursor: Privacy and Data Governance</w:t>
        </w:r>
      </w:hyperlink>
      <w:r>
        <w:t>. Documents team Privacy Mode and account/device policy considerations.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cursor-ide-cli-security-settings/" TargetMode="External"/><Relationship Id="rId11" Type="http://schemas.openxmlformats.org/officeDocument/2006/relationships/footer" Target="footer1.xml"/><Relationship Id="rId12" Type="http://schemas.openxmlformats.org/officeDocument/2006/relationships/hyperlink" Target="https://cursor.com/docs/cli/overview" TargetMode="External"/><Relationship Id="rId13" Type="http://schemas.openxmlformats.org/officeDocument/2006/relationships/hyperlink" Target="https://cursor.com/docs/cli/reference/authentication" TargetMode="External"/><Relationship Id="rId14" Type="http://schemas.openxmlformats.org/officeDocument/2006/relationships/hyperlink" Target="https://cursor.com/docs/cli/reference/configuration" TargetMode="External"/><Relationship Id="rId15" Type="http://schemas.openxmlformats.org/officeDocument/2006/relationships/hyperlink" Target="https://cursor.com/docs/cli/reference/permissions" TargetMode="External"/><Relationship Id="rId16" Type="http://schemas.openxmlformats.org/officeDocument/2006/relationships/hyperlink" Target="https://cursor.com/docs/enterprise/privacy-and-data-gover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Cursor IDE-to-CLI approval worksheet</dc:title>
  <dc:subject>Review Cursor CLI as a new client</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