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Synthetic debugging-log preparation pack</w:t>
      </w:r>
    </w:p>
    <w:p>
      <w:r>
        <w:rPr>
          <w:b w:val="0"/>
        </w:rPr>
        <w:t>SRE, developers and security engineering</w:t>
      </w:r>
    </w:p>
    <w:p>
      <w:pPr>
        <w:spacing w:after="280"/>
      </w:pPr>
      <w:hyperlink r:id="rId10">
        <w:r>
          <w:rPr>
            <w:color w:val="6412A6"/>
            <w:u w:val="single"/>
          </w:rPr>
          <w:t>Read the complete guide on aona.ai</w:t>
        </w:r>
      </w:hyperlink>
    </w:p>
    <w:p>
      <w:r>
        <w:rPr>
          <w:b w:val="0"/>
        </w:rPr>
        <w:t>Before using machine logs with an AI assistant, keep the error, relevant sequence and correlation structure while removing credentials and unnecessary customer identifiers. Check the actual input path and provider account. The synthetic pack shows one useful transformation, not a general-purpose redactor or proof that every log field has been made safe.</w:t>
      </w:r>
    </w:p>
    <w:p>
      <w:r>
        <w:rPr>
          <w:b w:val="0"/>
        </w:rPr>
        <w:t>Compare a raw fictional trace, a minimised version and the fields retained for diagnosis.</w:t>
      </w:r>
    </w:p>
    <w:p>
      <w:r>
        <w:rPr>
          <w:b w:val="0"/>
        </w:rPr>
        <w:t>Entirely synthetic logs. The offline transformation is limited to this fixture and is not a production sanitizer.</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question"/>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Write the debugging question</w:t>
      </w:r>
    </w:p>
    <w:p>
      <w:r>
        <w:rPr>
          <w:b w:val="0"/>
        </w:rPr>
        <w:t>Retain only events and stack frames that contribute to it.</w:t>
      </w:r>
    </w:p>
    <w:p>
      <w:pPr>
        <w:keepNext/>
        <w:spacing w:before="200" w:after="60"/>
      </w:pPr>
      <w:sdt>
        <w:sdtPr>
          <w:tag w:val="aona-check:correlation"/>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Preserve useful relationships</w:t>
      </w:r>
    </w:p>
    <w:p>
      <w:r>
        <w:rPr>
          <w:b w:val="0"/>
        </w:rPr>
        <w:t>Use consistent replacements for repeated identifiers without keeping original values.</w:t>
      </w:r>
    </w:p>
    <w:p>
      <w:pPr>
        <w:keepNext/>
        <w:spacing w:before="200" w:after="60"/>
      </w:pPr>
      <w:sdt>
        <w:sdtPr>
          <w:tag w:val="aona-check:review"/>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the remaining excerpt</w:t>
      </w:r>
    </w:p>
    <w:p>
      <w:r>
        <w:rPr>
          <w:b w:val="0"/>
        </w:rPr>
        <w:t>A transformation is not an automatic disclosure approval or complete sensitive-data scan.</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Field</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Raw example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Prepared example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Request correlation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SYNTHETIC_REQ_004</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[REQUEST_1] on both lines</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Authorization</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Fake bearer marker</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[AUTH_REMOVED]</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Customer email</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person@example.invalid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[EMAIL_1]</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Failure context</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Missing quantity and two frames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Preserved</w:t>
            </w:r>
          </w:p>
        </w:tc>
      </w:tr>
    </w:tbl>
    <w:p>
      <w:pPr>
        <w:spacing w:after="0" w:line="80" w:lineRule="exact"/>
      </w:pPr>
      <w:r>
        <w:rPr>
          <w:sz w:val="2"/>
        </w:rPr>
      </w:r>
    </w:p>
    <w:p>
      <w:pPr>
        <w:pStyle w:val="Heading1"/>
        <w:keepNext/>
      </w:pPr>
      <w:r>
        <w:t>Synthetic debugging-log preparation</w:t>
      </w:r>
    </w:p>
    <w:p>
      <w:r>
        <w:rPr>
          <w:b w:val="0"/>
        </w:rPr>
        <w:t>All data is fictional. The example.invalid address cannot identify a real customer. Authorization and cookie strings are obvious fake markers, not credentials.</w:t>
      </w:r>
    </w:p>
    <w:p>
      <w:r>
        <w:rPr>
          <w:b w:val="0"/>
        </w:rPr>
        <w:t>Compare synthetic-raw.log with expected-minimised.log and complete the “Debugging excerpt review” section. The optional prepare_example.py uses only the unchanged bundled raw file, refuses any other content by hash and prints a fixed demonstration transformation. It performs no network calls and is not a production redactor. Do not replace the fixture with real logs.</w:t>
      </w:r>
    </w:p>
    <w:p>
      <w:r>
        <w:rPr>
          <w:b w:val="0"/>
        </w:rPr>
        <w:t>Debugging question: why did the fictional request return a missing-quantity error after a retry? Observe that the status, time sequence, error text and stack frames remain useful without the original marker values.</w:t>
      </w:r>
    </w:p>
    <w:p>
      <w:pPr>
        <w:pStyle w:val="Heading1"/>
        <w:keepNext/>
      </w:pPr>
      <w:r>
        <w:t>Debugging excerpt review</w:t>
      </w:r>
    </w:p>
    <w:p>
      <w:r>
        <w:rPr>
          <w:b w:val="0"/>
        </w:rPr>
        <w:t>Question: ____________________</w:t>
        <w:br/>
        <w:t>Minimum time window and events: ____________________</w:t>
        <w:br/>
        <w:t>Error/status and frames retained: ____________________</w:t>
        <w:br/>
        <w:t>Repeated values requiring consistent replacement: ____________________</w:t>
        <w:br/>
        <w:t>Credentials, cookies and unnecessary identifiers removed: ____________________</w:t>
        <w:br/>
        <w:t>Remaining architecture or business context to review: ____________________</w:t>
        <w:br/>
        <w:t>Service/account and submission path: ____________________</w:t>
        <w:br/>
        <w:t>Owner decision: NOT YET REVIEWED</w:t>
        <w:br/>
        <w:t>Control test, if applicable: UNTESTED</w:t>
        <w:br/>
        <w:t>Evidence: ____________________</w:t>
      </w:r>
    </w:p>
    <w:p>
      <w:r>
        <w:rPr>
          <w:b w:val="0"/>
        </w:rPr>
        <w:t>This record does not certify a real excerpt as safe or authorize disclosure.</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Synthetic raw (synthetic-raw.log)</w:t>
        </w:r>
      </w:hyperlink>
    </w:p>
    <w:p>
      <w:pPr>
        <w:pStyle w:val="ListBullet"/>
      </w:pPr>
      <w:hyperlink r:id="rId13">
        <w:r>
          <w:rPr>
            <w:color w:val="6412A6"/>
            <w:u w:val="single"/>
          </w:rPr>
          <w:t>Expected minimised (expected-minimised.log)</w:t>
        </w:r>
      </w:hyperlink>
    </w:p>
    <w:p>
      <w:pPr>
        <w:pStyle w:val="ListBullet"/>
      </w:pPr>
      <w:hyperlink r:id="rId14">
        <w:r>
          <w:rPr>
            <w:color w:val="6412A6"/>
            <w:u w:val="single"/>
          </w:rPr>
          <w:t>Prepare example (prepare_example.py)</w:t>
        </w:r>
      </w:hyperlink>
    </w:p>
    <w:p>
      <w:pPr>
        <w:pStyle w:val="Heading1"/>
        <w:keepNext/>
      </w:pPr>
      <w:r>
        <w:t>Sources and scope</w:t>
      </w:r>
    </w:p>
    <w:p>
      <w:pPr>
        <w:pStyle w:val="SourceNote"/>
        <w:keepNext/>
      </w:pPr>
      <w:r>
        <w:rPr>
          <w:b w:val="0"/>
        </w:rPr>
        <w:t>Sources checked 2026-09-21. Review the current requirements and your actual agreement before using this workbook for a real decision.  This does not imply inspection of every terminal output, log format, support bundle or remote development path.</w:t>
      </w:r>
    </w:p>
    <w:p>
      <w:pPr>
        <w:pStyle w:val="SourceNote"/>
        <w:keepNext/>
      </w:pPr>
      <w:hyperlink r:id="rId15">
        <w:r>
          <w:rPr>
            <w:color w:val="6412A6"/>
            <w:u w:val="single"/>
          </w:rPr>
          <w:t>OAIC: Use of commercially available AI products</w:t>
        </w:r>
      </w:hyperlink>
      <w:r>
        <w:t>. Explains privacy considerations for personal information input to commercial AI products.</w:t>
      </w:r>
    </w:p>
    <w:p>
      <w:pPr>
        <w:pStyle w:val="SourceNote"/>
        <w:keepNext/>
      </w:pPr>
      <w:hyperlink r:id="rId16">
        <w:r>
          <w:rPr>
            <w:color w:val="6412A6"/>
            <w:u w:val="single"/>
          </w:rPr>
          <w:t>Claude Code: Data usage</w:t>
        </w:r>
      </w:hyperlink>
      <w:r>
        <w:t>. Distinguishes ordinary use from user-initiated feedback and transcript-sharing paths.</w:t>
      </w:r>
    </w:p>
    <w:p>
      <w:pPr>
        <w:pStyle w:val="SourceNote"/>
        <w:keepNext w:val="0"/>
      </w:pPr>
      <w:hyperlink r:id="rId17">
        <w:r>
          <w:rPr>
            <w:color w:val="6412A6"/>
            <w:u w:val="single"/>
          </w:rPr>
          <w:t>Aona: AI security coverage</w:t>
        </w:r>
      </w:hyperlink>
      <w:r>
        <w:t>. Requires verification of the intended supported input path.</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production-logs-ai-debugging/" TargetMode="External"/><Relationship Id="rId11" Type="http://schemas.openxmlformats.org/officeDocument/2006/relationships/footer" Target="footer1.xml"/><Relationship Id="rId12" Type="http://schemas.openxmlformats.org/officeDocument/2006/relationships/hyperlink" Target="https://aona.ai/resources/decision-assets/d08/synthetic-raw.log" TargetMode="External"/><Relationship Id="rId13" Type="http://schemas.openxmlformats.org/officeDocument/2006/relationships/hyperlink" Target="https://aona.ai/resources/decision-assets/d08/expected-minimised.log" TargetMode="External"/><Relationship Id="rId14" Type="http://schemas.openxmlformats.org/officeDocument/2006/relationships/hyperlink" Target="https://aona.ai/resources/decision-assets/d08/prepare_example.py" TargetMode="External"/><Relationship Id="rId15" Type="http://schemas.openxmlformats.org/officeDocument/2006/relationships/hyperlink" Target="https://www.oaic.gov.au/privacy/privacy-guidance-for-organisations-and-government-agencies/guidance-on-privacy-and-the-use-of-commercially-available-ai-products" TargetMode="External"/><Relationship Id="rId16" Type="http://schemas.openxmlformats.org/officeDocument/2006/relationships/hyperlink" Target="https://code.claude.com/docs/en/data-usage" TargetMode="External"/><Relationship Id="rId17" Type="http://schemas.openxmlformats.org/officeDocument/2006/relationships/hyperlink" Target="https://aona.ai/resources/ai-security-cover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debugging-log preparation pack</dc:title>
  <dc:subject>Prepare logs for AI debugging</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