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Remote development location and control map</w:t>
      </w:r>
    </w:p>
    <w:p>
      <w:r>
        <w:rPr>
          <w:b w:val="0"/>
        </w:rPr>
        <w:t>Engineering platform and endpoint IT</w:t>
      </w:r>
    </w:p>
    <w:p>
      <w:pPr>
        <w:spacing w:after="280"/>
      </w:pPr>
      <w:hyperlink r:id="rId10">
        <w:r>
          <w:rPr>
            <w:color w:val="6412A6"/>
            <w:u w:val="single"/>
          </w:rPr>
          <w:t>Read the complete guide on aona.ai</w:t>
        </w:r>
      </w:hyperlink>
    </w:p>
    <w:p>
      <w:r>
        <w:rPr>
          <w:b w:val="0"/>
        </w:rPr>
        <w:t>Map where the files, extensions, terminal tools and model requests actually run before reusing an AI security result from a local workspace. A local editor window can operate on a remote host or inside a container. Controls applied to the laptop, remote filesystem and container are different boundaries, and their coverage must be verified for the selected client and task.</w:t>
      </w:r>
    </w:p>
    <w:p>
      <w:r>
        <w:rPr>
          <w:b w:val="0"/>
        </w:rPr>
        <w:t>Locate the editor, repository and tool process before interpreting an AI control result.</w:t>
      </w:r>
    </w:p>
    <w:p>
      <w:r>
        <w:rPr>
          <w:b w:val="0"/>
        </w:rPr>
        <w:t>Synthetic location markers and unexecuted checks. No SSH connection or container is created.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location"/>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Locate data and execution separately</w:t>
      </w:r>
    </w:p>
    <w:p>
      <w:r>
        <w:rPr>
          <w:b w:val="0"/>
        </w:rPr>
        <w:t>Record where files live and where the selected extension or terminal actually runs.</w:t>
      </w:r>
    </w:p>
    <w:p>
      <w:pPr>
        <w:keepNext/>
        <w:spacing w:before="200" w:after="60"/>
      </w:pPr>
      <w:sdt>
        <w:sdtPr>
          <w:tag w:val="aona-check:control"/>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Assign the control to that path</w:t>
      </w:r>
    </w:p>
    <w:p>
      <w:r>
        <w:rPr>
          <w:b w:val="0"/>
        </w:rPr>
        <w:t>Do not infer remote coverage from a local device or browser result.</w:t>
      </w:r>
    </w:p>
    <w:p>
      <w:pPr>
        <w:keepNext/>
        <w:spacing w:before="200" w:after="60"/>
      </w:pPr>
      <w:sdt>
        <w:sdtPr>
          <w:tag w:val="aona-check:synthetic"/>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Use only approved isolated marker locations</w:t>
      </w:r>
    </w:p>
    <w:p>
      <w:r>
        <w:rPr>
          <w:b w:val="0"/>
        </w:rPr>
        <w:t>Do not create remote access, copy a real repository or move credentials for this exercise.</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Location</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Synthetic marker</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Observed component</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Local test folder</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SYNTHETIC_D19_LOCAL</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Approved remote fixture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SYNTHETIC_D19_REMOTE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Untested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Approved container fixture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SYNTHETIC_D19_CONTAINER</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bl>
    <w:p>
      <w:pPr>
        <w:spacing w:after="0" w:line="80" w:lineRule="exact"/>
      </w:pPr>
      <w:r>
        <w:rPr>
          <w:sz w:val="2"/>
        </w:rPr>
      </w:r>
    </w:p>
    <w:p>
      <w:pPr>
        <w:pStyle w:val="Heading1"/>
        <w:keepNext/>
      </w:pPr>
      <w:r>
        <w:t>A local window can reach different runtimes</w:t>
      </w:r>
    </w:p>
    <w:p>
      <w:pPr>
        <w:pStyle w:val="ListBullet"/>
      </w:pPr>
      <w:r>
        <w:rPr>
          <w:b/>
        </w:rPr>
        <w:t xml:space="preserve">Local interface: </w:t>
      </w:r>
      <w:r>
        <w:t>The editor appears on the employee’s device</w:t>
      </w:r>
    </w:p>
    <w:p>
      <w:r>
        <w:rPr>
          <w:b w:val="0"/>
        </w:rPr>
        <w:t>This alone does not locate execution</w:t>
      </w:r>
    </w:p>
    <w:p>
      <w:pPr>
        <w:pStyle w:val="ListBullet"/>
      </w:pPr>
      <w:r>
        <w:rPr>
          <w:b/>
        </w:rPr>
        <w:t xml:space="preserve">Remote host or container: </w:t>
      </w:r>
      <w:r>
        <w:t>Workspace files and tools may be located here</w:t>
      </w:r>
    </w:p>
    <w:p>
      <w:r>
        <w:rPr>
          <w:b w:val="0"/>
        </w:rPr>
        <w:t>Verify identity, mounts and permissions</w:t>
      </w:r>
    </w:p>
    <w:p>
      <w:pPr>
        <w:pStyle w:val="ListBullet"/>
      </w:pPr>
      <w:r>
        <w:rPr>
          <w:b/>
        </w:rPr>
        <w:t xml:space="preserve">Model request: </w:t>
      </w:r>
      <w:r>
        <w:t>Trace the component that submits context</w:t>
      </w:r>
    </w:p>
    <w:p>
      <w:r>
        <w:rPr>
          <w:b w:val="0"/>
        </w:rPr>
        <w:t>Evaluate the supported path separately</w:t>
      </w:r>
    </w:p>
    <w:p>
      <w:pPr>
        <w:pStyle w:val="Heading1"/>
        <w:keepNext/>
      </w:pPr>
      <w:r>
        <w:t>Remote development locality review</w:t>
      </w:r>
    </w:p>
    <w:p>
      <w:r>
        <w:rPr>
          <w:b w:val="0"/>
        </w:rPr>
        <w:t>This pack contains only synthetic marker text and a worksheet. It creates no SSH connection, container, mount, credential or network request.</w:t>
      </w:r>
    </w:p>
    <w:p>
      <w:r>
        <w:rPr>
          <w:b w:val="0"/>
        </w:rPr>
        <w:t>Use existing organisation-approved isolated locations only. Place the appropriate marker file in each permitted fixture location, then record which component and location an authorised manual test actually used. Do not copy real repositories or private keys. If a location is unavailable or not approved, mark it NOT APPLICABLE.</w:t>
      </w:r>
    </w:p>
    <w:p>
      <w:r>
        <w:rPr>
          <w:b w:val="0"/>
        </w:rPr>
        <w:t>An editor window, a file path and a running process are separate observations. Record all three before interpreting a control result.</w:t>
      </w:r>
    </w:p>
    <w:p>
      <w:pPr>
        <w:pStyle w:val="Heading1"/>
        <w:keepNext/>
      </w:pPr>
      <w:r>
        <w:t>Location matrix</w:t>
      </w:r>
    </w:p>
    <w:p>
      <w:r>
        <w:rPr>
          <w:b w:val="0"/>
        </w:rPr>
        <w:t>These records are arranged vertically for reading and printing. The Excel workbook retains the full column layout.</w:t>
      </w:r>
    </w:p>
    <w:p>
      <w:pPr>
        <w:pStyle w:val="Heading3"/>
        <w:keepNext/>
      </w:pPr>
      <w:r>
        <w:t>Record 1</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Component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editor interface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Data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location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Identity or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 control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marker or decision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2</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Component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repository read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Data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location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Identity or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 control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marker or decision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Component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terminal tool</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Data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location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Identity or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 control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marker or decision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Component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workspace extension</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Data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location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Identity or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 control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marker or decision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3"/>
        <w:keepNext/>
      </w:pPr>
      <w:r>
        <w:t>Record 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66"/>
        <w:gridCol w:w="6727"/>
      </w:tblGrid>
      <w:tr>
        <w:trPr>
          <w:tblHeader/>
          <w:cantSplit/>
        </w:trPr>
        <w:tc>
          <w:tcPr>
            <w:tcW w:type="dxa" w:w="3166"/>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6727"/>
            <w:vAlign w:val="center"/>
            <w:tcMar>
              <w:top w:w="100" w:type="dxa"/>
              <w:bottom w:w="100" w:type="dxa"/>
              <w:left w:w="100" w:type="dxa"/>
              <w:right w:w="100" w:type="dxa"/>
            </w:tcMar>
            <w:shd w:fill="F2E8FA"/>
          </w:tcPr>
          <w:p>
            <w:pPr>
              <w:keepNext w:val="0"/>
              <w:spacing w:after="40" w:before="40" w:line="259" w:lineRule="auto"/>
            </w:pPr>
            <w:r>
              <w:rPr>
                <w:b/>
                <w:color w:val="30243A"/>
                <w:sz w:val="19"/>
              </w:rPr>
              <w:t>Record value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Client version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Component</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model request</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Data location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Execution location</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RECORD</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Identity or owner</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ASSIGN</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 control</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t>DEFINE</w:t>
            </w:r>
          </w:p>
        </w:tc>
      </w:tr>
      <w:tr>
        <w:trPr>
          <w:cantSplit/>
        </w:trPr>
        <w:tc>
          <w:tcPr>
            <w:tcW w:type="dxa" w:w="3166"/>
            <w:vAlign w:val="center"/>
            <w:tcMar>
              <w:top w:w="100" w:type="dxa"/>
              <w:bottom w:w="100" w:type="dxa"/>
              <w:left w:w="100" w:type="dxa"/>
              <w:right w:w="100" w:type="dxa"/>
            </w:tcMar>
          </w:tcPr>
          <w:p>
            <w:pPr>
              <w:keepNext w:val="0"/>
              <w:spacing w:after="40" w:before="40" w:line="259" w:lineRule="auto"/>
            </w:pPr>
            <w:r>
              <w:rPr>
                <w:b w:val="0"/>
                <w:color w:val="30243A"/>
                <w:sz w:val="19"/>
              </w:rPr>
              <w:t>Observed marker or decision</w:t>
            </w:r>
          </w:p>
        </w:tc>
        <w:tc>
          <w:tcPr>
            <w:tcW w:type="dxa" w:w="6727"/>
            <w:vAlign w:val="center"/>
            <w:tcMar>
              <w:top w:w="100" w:type="dxa"/>
              <w:bottom w:w="100" w:type="dxa"/>
              <w:left w:w="100" w:type="dxa"/>
              <w:right w:w="100" w:type="dxa"/>
            </w:tcMar>
          </w:tcPr>
          <w:p>
            <w:pPr>
              <w:keepNext w:val="0"/>
              <w:spacing w:after="40" w:before="40" w:line="259" w:lineRule="auto"/>
            </w:pPr>
            <w:r>
              <w:rPr>
                <w:b w:val="0"/>
                <w:color w:val="30243A"/>
                <w:sz w:val="19"/>
              </w:rPr>
              <w:t>UNTESTED</w:t>
            </w:r>
          </w:p>
        </w:tc>
      </w:tr>
      <w:tr>
        <w:trPr>
          <w:cantSplit/>
        </w:trPr>
        <w:tc>
          <w:tcPr>
            <w:tcW w:type="dxa" w:w="3166"/>
            <w:vAlign w:val="center"/>
            <w:tcMar>
              <w:top w:w="100" w:type="dxa"/>
              <w:bottom w:w="100" w:type="dxa"/>
              <w:left w:w="100" w:type="dxa"/>
              <w:right w:w="100" w:type="dxa"/>
            </w:tcMar>
            <w:shd w:fill="FAF7FC"/>
          </w:tcPr>
          <w:p>
            <w:pPr>
              <w:keepNext w:val="0"/>
              <w:spacing w:after="40" w:before="40" w:line="259" w:lineRule="auto"/>
            </w:pPr>
            <w:r>
              <w:rPr>
                <w:b w:val="0"/>
                <w:color w:val="30243A"/>
                <w:sz w:val="19"/>
              </w:rPr>
              <w:t>Evidence</w:t>
            </w:r>
          </w:p>
        </w:tc>
        <w:tc>
          <w:tcPr>
            <w:tcW w:type="dxa" w:w="6727"/>
            <w:vAlign w:val="center"/>
            <w:tcMar>
              <w:top w:w="100" w:type="dxa"/>
              <w:bottom w:w="100" w:type="dxa"/>
              <w:left w:w="100" w:type="dxa"/>
              <w:right w:w="100" w:type="dxa"/>
            </w:tcMar>
            <w:shd w:fill="FAF7FC"/>
          </w:tcPr>
          <w:p>
            <w:pPr>
              <w:keepNext w:val="0"/>
              <w:spacing w:after="40" w:before="40" w:line="259" w:lineRule="auto"/>
            </w:pPr>
            <w:r>
              <w:rPr>
                <w:b w:val="0"/>
                <w:color w:val="30243A"/>
                <w:sz w:val="19"/>
              </w:rPr>
            </w:r>
          </w:p>
        </w:tc>
      </w:tr>
    </w:tbl>
    <w:p>
      <w:pPr>
        <w:spacing w:after="0" w:line="80" w:lineRule="exact"/>
      </w:pPr>
      <w:r>
        <w:rPr>
          <w:sz w:val="2"/>
        </w:rPr>
      </w:r>
    </w:p>
    <w:p>
      <w:pPr>
        <w:pStyle w:val="Heading1"/>
        <w:keepNext/>
      </w:pPr>
      <w:r>
        <w:t>Execution arrangement decision</w:t>
      </w:r>
    </w:p>
    <w:p>
      <w:r>
        <w:rPr>
          <w:b w:val="0"/>
        </w:rPr>
        <w:t>Client/version and mode: ____________________</w:t>
        <w:br/>
        <w:t>Local interface/device owner: ____________________</w:t>
        <w:br/>
        <w:t>Repository location: ____________________</w:t>
        <w:br/>
        <w:t>Remote host/container owner: ____________________</w:t>
        <w:br/>
        <w:t>Tool execution and request path: ____________________</w:t>
        <w:br/>
        <w:t>Supported controls and evidence: ____________________</w:t>
        <w:br/>
        <w:t>Unresolved location/control question: ____________________</w:t>
        <w:br/>
        <w:t>Decision: NOT YET REVIEWED</w:t>
        <w:br/>
        <w:t>Recheck when host, mount, client, mode or repository location changes.</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Local marker (local-marker.txt)</w:t>
        </w:r>
      </w:hyperlink>
    </w:p>
    <w:p>
      <w:r>
        <w:rPr>
          <w:b w:val="0"/>
        </w:rPr>
        <w:t>SYNTHETIC_D19_LOCAL</w:t>
        <w:br/>
      </w:r>
    </w:p>
    <w:p>
      <w:pPr>
        <w:pStyle w:val="ListBullet"/>
      </w:pPr>
      <w:hyperlink r:id="rId13">
        <w:r>
          <w:rPr>
            <w:color w:val="6412A6"/>
            <w:u w:val="single"/>
          </w:rPr>
          <w:t>Remote marker (remote-marker.txt)</w:t>
        </w:r>
      </w:hyperlink>
    </w:p>
    <w:p>
      <w:r>
        <w:rPr>
          <w:b w:val="0"/>
        </w:rPr>
        <w:t>SYNTHETIC_D19_REMOTE</w:t>
        <w:br/>
      </w:r>
    </w:p>
    <w:p>
      <w:pPr>
        <w:pStyle w:val="ListBullet"/>
      </w:pPr>
      <w:hyperlink r:id="rId14">
        <w:r>
          <w:rPr>
            <w:color w:val="6412A6"/>
            <w:u w:val="single"/>
          </w:rPr>
          <w:t>Container marker (container-marker.txt)</w:t>
        </w:r>
      </w:hyperlink>
    </w:p>
    <w:p>
      <w:r>
        <w:rPr>
          <w:b w:val="0"/>
        </w:rPr>
        <w:t>SYNTHETIC_D19_CONTAINER</w:t>
        <w:b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No uniform Remote SSH, container, remote-filesystem or vendor-cloud enforcement is implied. A local installation is not proof of control over a remote runtime.</w:t>
      </w:r>
    </w:p>
    <w:p>
      <w:pPr>
        <w:pStyle w:val="SourceNote"/>
        <w:keepNext/>
      </w:pPr>
      <w:hyperlink r:id="rId15">
        <w:r>
          <w:rPr>
            <w:color w:val="6412A6"/>
            <w:u w:val="single"/>
          </w:rPr>
          <w:t>Visual Studio Code: Remote SSH</w:t>
        </w:r>
      </w:hyperlink>
      <w:r>
        <w:t>. Documents remote filesystem access and execution, including remote containers.</w:t>
      </w:r>
    </w:p>
    <w:p>
      <w:pPr>
        <w:pStyle w:val="SourceNote"/>
        <w:keepNext/>
      </w:pPr>
      <w:hyperlink r:id="rId16">
        <w:r>
          <w:rPr>
            <w:color w:val="6412A6"/>
            <w:u w:val="single"/>
          </w:rPr>
          <w:t>Visual Studio Code: Developing inside a container</w:t>
        </w:r>
      </w:hyperlink>
      <w:r>
        <w:t>. Documents mounted/copied workspaces and extensions running inside containers.</w:t>
      </w:r>
    </w:p>
    <w:p>
      <w:pPr>
        <w:pStyle w:val="SourceNote"/>
        <w:keepNext/>
      </w:pPr>
      <w:hyperlink r:id="rId17">
        <w:r>
          <w:rPr>
            <w:color w:val="6412A6"/>
            <w:u w:val="single"/>
          </w:rPr>
          <w:t>GitHub: Copilot content exclusion</w:t>
        </w:r>
      </w:hyperlink>
      <w:r>
        <w:t>. Identifies remote-filesystem and symlink limitations.</w:t>
      </w:r>
    </w:p>
    <w:p>
      <w:pPr>
        <w:pStyle w:val="SourceNote"/>
        <w:keepNext w:val="0"/>
      </w:pPr>
      <w:hyperlink r:id="rId18">
        <w:r>
          <w:rPr>
            <w:color w:val="6412A6"/>
            <w:u w:val="single"/>
          </w:rPr>
          <w:t>Cursor community: dev-container sandbox question</w:t>
        </w:r>
      </w:hyperlink>
      <w:r>
        <w:t>. A dated practitioner question motivating location/mode-specific review, not a current universal flaw.</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ai-coding-remote-ssh-devcontainers/" TargetMode="External"/><Relationship Id="rId11" Type="http://schemas.openxmlformats.org/officeDocument/2006/relationships/footer" Target="footer1.xml"/><Relationship Id="rId12" Type="http://schemas.openxmlformats.org/officeDocument/2006/relationships/hyperlink" Target="https://aona.ai/resources/decision-assets/d19/local-marker.txt" TargetMode="External"/><Relationship Id="rId13" Type="http://schemas.openxmlformats.org/officeDocument/2006/relationships/hyperlink" Target="https://aona.ai/resources/decision-assets/d19/remote-marker.txt" TargetMode="External"/><Relationship Id="rId14" Type="http://schemas.openxmlformats.org/officeDocument/2006/relationships/hyperlink" Target="https://aona.ai/resources/decision-assets/d19/container-marker.txt" TargetMode="External"/><Relationship Id="rId15" Type="http://schemas.openxmlformats.org/officeDocument/2006/relationships/hyperlink" Target="https://code.visualstudio.com/docs/remote/ssh" TargetMode="External"/><Relationship Id="rId16" Type="http://schemas.openxmlformats.org/officeDocument/2006/relationships/hyperlink" Target="https://code.visualstudio.com/docs/devcontainers/containers" TargetMode="External"/><Relationship Id="rId17" Type="http://schemas.openxmlformats.org/officeDocument/2006/relationships/hyperlink" Target="https://docs.github.com/en/copilot/concepts/context/content-exclusion" TargetMode="External"/><Relationship Id="rId18" Type="http://schemas.openxmlformats.org/officeDocument/2006/relationships/hyperlink" Target="https://forum.cursor.com/t/clarification-request-how-does-cursorignore-interact-with-auto-run-in-sandbox-inside-a-dev-container/159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development location and control map</dc:title>
  <dc:subject>Locate Remote SSH and container controls</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