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Client-code AI permission review</w:t>
      </w:r>
    </w:p>
    <w:p>
      <w:r>
        <w:rPr>
          <w:b w:val="0"/>
        </w:rPr>
        <w:t>Software agencies, counsel and engineering leads</w:t>
      </w:r>
    </w:p>
    <w:p>
      <w:pPr>
        <w:spacing w:after="280"/>
      </w:pPr>
      <w:hyperlink r:id="rId10">
        <w:r>
          <w:rPr>
            <w:color w:val="6412A6"/>
            <w:u w:val="single"/>
          </w:rPr>
          <w:t>Read the complete guide on aona.ai</w:t>
        </w:r>
      </w:hyperlink>
    </w:p>
    <w:p>
      <w:r>
        <w:rPr>
          <w:b w:val="0"/>
        </w:rPr>
        <w:t>Use client source code with AI only within the permission granted by the governing contracts and the client’s authorised decisions. An NDA alone does not identify every permitted recipient, service or use. Review the specific terms, data path and decision authority; where permission is unclear, prepare an independently written synthetic example instead of disclosing the client material.</w:t>
      </w:r>
    </w:p>
    <w:p>
      <w:r>
        <w:rPr>
          <w:b w:val="0"/>
        </w:rPr>
        <w:t>Record the proposed material, recipients, purpose and authorised client decision, with a clean synthetic alternative.</w:t>
      </w:r>
    </w:p>
    <w:p>
      <w:r>
        <w:rPr>
          <w:b w:val="0"/>
        </w:rPr>
        <w:t>A worked fictional permission decision plus an independently written toy example. No actual client consent or legal conclusion is supplied.</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terms"/>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Identify the governing client terms</w:t>
      </w:r>
    </w:p>
    <w:p>
      <w:r>
        <w:rPr>
          <w:b w:val="0"/>
        </w:rPr>
        <w:t>Have the responsible owner resolve permission and confidentiality questions for the actual contract.</w:t>
      </w:r>
    </w:p>
    <w:p>
      <w:pPr>
        <w:keepNext/>
        <w:spacing w:before="200" w:after="60"/>
      </w:pPr>
      <w:sdt>
        <w:sdtPr>
          <w:tag w:val="aona-check:authority"/>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Record the authorised decision</w:t>
      </w:r>
    </w:p>
    <w:p>
      <w:r>
        <w:rPr>
          <w:b w:val="0"/>
        </w:rPr>
        <w:t>Do not treat a generic template or colleague’s assurance as a contract amendment.</w:t>
      </w:r>
    </w:p>
    <w:p>
      <w:pPr>
        <w:keepNext/>
        <w:spacing w:before="200" w:after="60"/>
      </w:pPr>
      <w:sdt>
        <w:sdtPr>
          <w:tag w:val="aona-check:alternative"/>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Use an independent synthetic reproduction where possible</w:t>
      </w:r>
    </w:p>
    <w:p>
      <w:r>
        <w:rPr>
          <w:b w:val="0"/>
        </w:rPr>
        <w:t>Removing names from the original code may not remove its confidential substance.</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73"/>
        <w:gridCol w:w="3710"/>
        <w:gridCol w:w="3710"/>
      </w:tblGrid>
      <w:tr>
        <w:trPr>
          <w:tblHeader/>
          <w:cantSplit/>
        </w:trPr>
        <w:tc>
          <w:tcPr>
            <w:tcW w:type="dxa" w:w="2473"/>
            <w:vAlign w:val="center"/>
            <w:tcMar>
              <w:top w:w="100" w:type="dxa"/>
              <w:bottom w:w="100" w:type="dxa"/>
              <w:left w:w="100" w:type="dxa"/>
              <w:right w:w="100" w:type="dxa"/>
            </w:tcMar>
            <w:shd w:fill="F2E8FA"/>
          </w:tcPr>
          <w:p>
            <w:pPr>
              <w:keepNext w:val="0"/>
              <w:spacing w:after="40" w:before="40" w:line="259" w:lineRule="auto"/>
            </w:pPr>
            <w:r>
              <w:rPr>
                <w:b/>
                <w:color w:val="30243A"/>
                <w:sz w:val="19"/>
              </w:rPr>
              <w:t>Fictional case</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Scope or decision</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Meaning</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Requested material</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A function from SYNTHETIC_CLIENT_PORTAL</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Original client code remains withheld</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Proposed recipient</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SYNTHETIC_AI_SERVICE and model provider</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Actual recipients would need review</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Authority</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Fictional client contract owner</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Project request alone is insufficient in this exercise</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Illustrative outcome</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Use the independent toy example only</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No real client consent is supplied</w:t>
            </w:r>
          </w:p>
        </w:tc>
      </w:tr>
    </w:tbl>
    <w:p>
      <w:pPr>
        <w:spacing w:after="0" w:line="80" w:lineRule="exact"/>
      </w:pPr>
      <w:r>
        <w:rPr>
          <w:sz w:val="2"/>
        </w:rPr>
      </w:r>
    </w:p>
    <w:p>
      <w:pPr>
        <w:pStyle w:val="Heading1"/>
        <w:keepNext/>
      </w:pPr>
      <w:r>
        <w:t>Questions for the disclosure decision</w:t>
      </w:r>
    </w:p>
    <w:p>
      <w:pPr>
        <w:pStyle w:val="ListBullet"/>
      </w:pPr>
      <w:r>
        <w:rPr>
          <w:b/>
        </w:rPr>
        <w:t xml:space="preserve">Material: </w:t>
      </w:r>
      <w:r>
        <w:t>What client information would leave?</w:t>
      </w:r>
    </w:p>
    <w:p>
      <w:r>
        <w:rPr>
          <w:b w:val="0"/>
        </w:rPr>
        <w:t>Include derived and automatic context</w:t>
      </w:r>
    </w:p>
    <w:p>
      <w:pPr>
        <w:pStyle w:val="ListBullet"/>
      </w:pPr>
      <w:r>
        <w:rPr>
          <w:b/>
        </w:rPr>
        <w:t xml:space="preserve">Recipient and purpose: </w:t>
      </w:r>
      <w:r>
        <w:t>Which service/account and task are proposed?</w:t>
      </w:r>
    </w:p>
    <w:p>
      <w:r>
        <w:rPr>
          <w:b w:val="0"/>
        </w:rPr>
        <w:t>Follow the relevant data path</w:t>
      </w:r>
    </w:p>
    <w:p>
      <w:pPr>
        <w:pStyle w:val="ListBullet"/>
      </w:pPr>
      <w:r>
        <w:rPr>
          <w:b/>
        </w:rPr>
        <w:t xml:space="preserve">Authority: </w:t>
      </w:r>
      <w:r>
        <w:t>Who can decide under the client’s process?</w:t>
      </w:r>
    </w:p>
    <w:p>
      <w:r>
        <w:rPr>
          <w:b w:val="0"/>
        </w:rPr>
        <w:t>This worksheet does not grant permission</w:t>
      </w:r>
    </w:p>
    <w:p>
      <w:pPr>
        <w:pStyle w:val="Heading1"/>
        <w:keepNext/>
      </w:pPr>
      <w:r>
        <w:t>Client-code permission review</w:t>
      </w:r>
    </w:p>
    <w:p>
      <w:r>
        <w:rPr>
          <w:b w:val="0"/>
        </w:rPr>
        <w:t>This pack is a review aid, not an NDA, legal opinion, consent or contract amendment. It sends no message and makes no API call. Do not put actual client source code or credentials into the training files.</w:t>
      </w:r>
    </w:p>
    <w:p>
      <w:r>
        <w:rPr>
          <w:b w:val="0"/>
        </w:rPr>
        <w:t>Use the “Proposed client-code disclosure” section with the responsible legal/commercial owner and the client’s authorised process. Record exact scope and evidence in your approved system. The toy function and cases were written independently for this guide and contain no client information. They illustrate a clean reproduction, not a guarantee that modified client code is free of restrictions.</w:t>
      </w:r>
    </w:p>
    <w:p>
      <w:pPr>
        <w:pStyle w:val="Heading1"/>
        <w:keepNext/>
      </w:pPr>
      <w:r>
        <w:t>Proposed client-code disclosure</w:t>
      </w:r>
    </w:p>
    <w:p>
      <w:r>
        <w:rPr>
          <w:b w:val="0"/>
        </w:rPr>
        <w:t>Client/reference: ____________________</w:t>
        <w:br/>
        <w:t>Governing agreement and relevant review owner: ____________________</w:t>
        <w:br/>
        <w:t>Material proposed, including derived/automatic context: ____________________</w:t>
        <w:br/>
        <w:t>Service, account and additional recipients: ____________________</w:t>
        <w:br/>
        <w:t>Purpose and expected benefit: ____________________</w:t>
        <w:br/>
        <w:t>Provider handling evidence for the client to consider: ____________________</w:t>
        <w:br/>
        <w:t>Who is authorised to decide under the client process: ____________________</w:t>
        <w:br/>
        <w:t>Decision/evidence reference: NOT OBTAINED</w:t>
        <w:br/>
        <w:t>Limits and recheck triggers: ____________________</w:t>
      </w:r>
    </w:p>
    <w:p>
      <w:r>
        <w:rPr>
          <w:b w:val="0"/>
        </w:rPr>
        <w:t>This file grants no permission and does not amend an agreement.</w:t>
      </w:r>
    </w:p>
    <w:p>
      <w:pPr>
        <w:pStyle w:val="Heading1"/>
        <w:keepNext/>
      </w:pPr>
      <w:r>
        <w:t>Synthetic cases</w:t>
      </w:r>
    </w:p>
    <w:p>
      <w:r>
        <w:rPr>
          <w:b w:val="0"/>
        </w:rPr>
        <w:t>Notice: INDEPENDENT SYNTHETIC EXAMPLES ONLY</w:t>
      </w:r>
    </w:p>
    <w:p>
      <w:pPr>
        <w:pStyle w:val="Heading2"/>
        <w:keepNext/>
      </w:pPr>
      <w:r>
        <w:t>Cases</w:t>
      </w:r>
    </w:p>
    <w:p>
      <w:pPr>
        <w:pStyle w:val="Heading3"/>
        <w:keepNext/>
      </w:pPr>
      <w:r>
        <w:t>Record 1</w:t>
      </w:r>
    </w:p>
    <w:p>
      <w:pPr>
        <w:pStyle w:val="Heading3"/>
        <w:keepNext/>
      </w:pPr>
      <w:r>
        <w:t>Input</w:t>
      </w:r>
    </w:p>
    <w:p>
      <w:r>
        <w:rPr>
          <w:b w:val="0"/>
        </w:rPr>
        <w:t>Quantity: 2</w:t>
      </w:r>
    </w:p>
    <w:p>
      <w:r>
        <w:rPr>
          <w:b w:val="0"/>
        </w:rPr>
        <w:t>Expected return: 2</w:t>
      </w:r>
    </w:p>
    <w:p>
      <w:pPr>
        <w:pStyle w:val="Heading3"/>
        <w:keepNext/>
      </w:pPr>
      <w:r>
        <w:t>Record 2</w:t>
      </w:r>
    </w:p>
    <w:p>
      <w:pPr>
        <w:pStyle w:val="Heading3"/>
        <w:keepNext/>
      </w:pPr>
      <w:r>
        <w:t>Input</w:t>
      </w:r>
    </w:p>
    <w:p>
      <w:pPr>
        <w:spacing w:before="140" w:after="200"/>
      </w:pPr>
      <w:r>
        <w:rPr>
          <w:rFonts w:ascii="Courier New" w:hAnsi="Courier New"/>
          <w:b w:val="0"/>
          <w:sz w:val="17"/>
        </w:rPr>
        <w:t>{}</w:t>
      </w:r>
    </w:p>
    <w:p>
      <w:r>
        <w:rPr>
          <w:b w:val="0"/>
        </w:rPr>
        <w:t>Expected exception: ValueError</w:t>
      </w:r>
    </w:p>
    <w:p>
      <w:r>
        <w:rPr>
          <w:b w:val="0"/>
        </w:rPr>
        <w:t>Expected message: quantity is required</w:t>
      </w:r>
    </w:p>
    <w:p>
      <w:r>
        <w:rPr>
          <w:b w:val="0"/>
        </w:rPr>
        <w:t>Client material used: false</w:t>
      </w:r>
    </w:p>
    <w:p>
      <w:r>
        <w:rPr>
          <w:b w:val="0"/>
        </w:rPr>
        <w:t>Provider calls performed: false</w:t>
      </w:r>
    </w:p>
    <w:p>
      <w:pPr>
        <w:pStyle w:val="Heading1"/>
        <w:keepNext/>
      </w:pPr>
      <w:r>
        <w:t>Clean reproduction review</w:t>
      </w:r>
    </w:p>
    <w:p>
      <w:r>
        <w:rPr>
          <w:b w:val="0"/>
        </w:rPr>
        <w:t>General programming question: ____________________</w:t>
        <w:br/>
        <w:t>Independently written example: ____________________</w:t>
        <w:br/>
        <w:t>Invented names/values and minimal structure: ____________________</w:t>
        <w:br/>
        <w:t>Client-specific algorithm, comments or business rules excluded: ____________________</w:t>
        <w:br/>
        <w:t>Does any derived information still require permission? ____________________</w:t>
        <w:br/>
        <w:t>Reviewer and decision: NOT YET REVIEWED</w:t>
      </w:r>
    </w:p>
    <w:p>
      <w:r>
        <w:rPr>
          <w:b w:val="0"/>
        </w:rPr>
        <w:t>A renamed copy is not automatically an independent example.</w:t>
      </w:r>
    </w:p>
    <w:p>
      <w:pPr>
        <w:pStyle w:val="Heading1"/>
        <w:keepNext/>
      </w:pPr>
      <w:r>
        <w:t>Worked fictional client-permission decision</w:t>
      </w:r>
    </w:p>
    <w:p>
      <w:r>
        <w:rPr>
          <w:b w:val="0"/>
        </w:rPr>
        <w:t>SYNTHETIC SCENARIO. This is not consent, legal advice or a contract amendment.</w:t>
      </w:r>
    </w:p>
    <w:p>
      <w:r>
        <w:rPr>
          <w:b w:val="0"/>
        </w:rPr>
        <w:t>Request: a software agency wants an AI explanation of a quantity-check failure in SYNTHETIC_CLIENT_PORTAL.</w:t>
        <w:br/>
        <w:t>Material proposed: the original fictional client function and nearby context. No actual client function is included in this pack.</w:t>
        <w:br/>
        <w:t>Recipient path: SYNTHETIC_AI_SERVICE in SYNTHETIC_WORKSPACE, then a fictional model provider. These are labels, not real services.</w:t>
        <w:br/>
        <w:t>Authority in this exercise: only the fictional client contract owner may decide disclosure scope; the project manager cannot extend it.</w:t>
        <w:br/>
        <w:t>Decision: original client code is not authorised for this use. Use only clean-example.py, independently written for the guide, with synthetic-cases.json.</w:t>
        <w:br/>
        <w:t>Limits: no client names, algorithms, comments, surrounding files or production values may be added under this illustrative decision.</w:t>
        <w:br/>
        <w:t>Recheck: any change to material, purpose, account or recipients requires a new authorised review.</w:t>
        <w:br/>
        <w:t>Outcome: a useful general programming question can proceed with the independent synthetic example while the client-code request stays unresolved.</w:t>
      </w:r>
    </w:p>
    <w:p>
      <w:pPr>
        <w:pStyle w:val="Heading1"/>
        <w:keepNext/>
      </w:pPr>
      <w:r>
        <w:t>Practice files</w:t>
      </w:r>
    </w:p>
    <w:p>
      <w:r>
        <w:rPr>
          <w:b w:val="0"/>
        </w:rPr>
        <w:t>The complete download pack includes these original working files. Keep their original formats when running or inspecting the examples.</w:t>
      </w:r>
    </w:p>
    <w:p>
      <w:pPr>
        <w:pStyle w:val="ListBullet"/>
      </w:pPr>
      <w:hyperlink r:id="rId12">
        <w:r>
          <w:rPr>
            <w:color w:val="6412A6"/>
            <w:u w:val="single"/>
          </w:rPr>
          <w:t>Clean example (clean-example.py)</w:t>
        </w:r>
      </w:hyperlink>
    </w:p>
    <w:p>
      <w:pPr>
        <w:pStyle w:val="Heading1"/>
        <w:keepNext/>
      </w:pPr>
      <w:r>
        <w:t>Sources and scope</w:t>
      </w:r>
    </w:p>
    <w:p>
      <w:pPr>
        <w:pStyle w:val="SourceNote"/>
        <w:keepNext/>
      </w:pPr>
      <w:r>
        <w:rPr>
          <w:b w:val="0"/>
        </w:rPr>
        <w:t>Sources checked 2026-09-21. Review the current requirements and your actual agreement before using this workbook for a real decision.  Aona does not interpret an NDA, authorise client disclosure or guarantee compliance with a contract. No technical control supplies missing permission.</w:t>
      </w:r>
    </w:p>
    <w:p>
      <w:pPr>
        <w:pStyle w:val="SourceNote"/>
        <w:keepNext/>
      </w:pPr>
      <w:hyperlink r:id="rId13">
        <w:r>
          <w:rPr>
            <w:color w:val="6412A6"/>
            <w:u w:val="single"/>
          </w:rPr>
          <w:t>USPTO: Guidance on use of AI-based tools</w:t>
        </w:r>
      </w:hyperlink>
      <w:r>
        <w:t>. Nonbinding, USPTO-specific guidance discussing confidential client information shared with third-party AI; not a general interpretation of software NDAs.</w:t>
      </w:r>
    </w:p>
    <w:p>
      <w:pPr>
        <w:pStyle w:val="Heading2"/>
        <w:keepNext/>
      </w:pPr>
      <w:r>
        <w:t>Additional source and scope notes</w:t>
      </w:r>
    </w:p>
    <w:p>
      <w:pPr>
        <w:pStyle w:val="SourceNote"/>
        <w:keepNext w:val="0"/>
      </w:pPr>
      <w:r>
        <w:rPr>
          <w:b w:val="0"/>
        </w:rPr>
        <w:t>The “Worked fictional client-permission decision” section is a completed teaching example: the fictional authority withholds original client code and allows only the independent toy reproduction within its stated example scope. It is separate from the blank actual-client review and grants no real permission.</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client-source-code-ai-nda/" TargetMode="External"/><Relationship Id="rId11" Type="http://schemas.openxmlformats.org/officeDocument/2006/relationships/footer" Target="footer1.xml"/><Relationship Id="rId12" Type="http://schemas.openxmlformats.org/officeDocument/2006/relationships/hyperlink" Target="https://aona.ai/resources/decision-assets/d20/clean-example.py" TargetMode="External"/><Relationship Id="rId13" Type="http://schemas.openxmlformats.org/officeDocument/2006/relationships/hyperlink" Target="https://www.govinfo.gov/content/pkg/FR-2024-04-11/html/2024-07629.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Client-code AI permission review</dc:title>
  <dc:subject>Can you send client code to AI?</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