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AI Agent Deployment Checklist</w:t>
      </w:r>
    </w:p>
    <w:p/>
    <w:p>
      <w:r>
        <w:rPr>
          <w:b/>
        </w:rPr>
        <w:t xml:space="preserve">Organisation:</w:t>
      </w:r>
      <w:r>
        <w:t xml:space="preserve"> [ORGANISATION NAME]</w:t>
      </w:r>
    </w:p>
    <w:p>
      <w:r>
        <w:rPr>
          <w:b/>
        </w:rPr>
        <w:t xml:space="preserve">Agent name / ID:</w:t>
      </w:r>
      <w:r>
        <w:t xml:space="preserve"> [AGENT NAME]</w:t>
      </w:r>
    </w:p>
    <w:p>
      <w:r>
        <w:rPr>
          <w:b/>
        </w:rPr>
        <w:t xml:space="preserve">Agent owner:</w:t>
      </w:r>
      <w:r>
        <w:t xml:space="preserve"> [NAME / ROLE]</w:t>
      </w:r>
    </w:p>
    <w:p>
      <w:r>
        <w:rPr>
          <w:b/>
        </w:rPr>
        <w:t xml:space="preserve">Reviewed by:</w:t>
      </w:r>
      <w:r>
        <w:t xml:space="preserve"> [SECURITY OWNER]</w:t>
      </w:r>
    </w:p>
    <w:p>
      <w:r>
        <w:rPr>
          <w:b/>
        </w:rPr>
        <w:t xml:space="preserve">Date:</w:t>
      </w:r>
      <w:r>
        <w:t xml:space="preserve"> [DATE]</w:t>
      </w:r>
    </w:p>
    <w:p>
      <w:r>
        <w:rPr>
          <w:b/>
        </w:rPr>
        <w:t xml:space="preserve">Version:</w:t>
      </w:r>
      <w:r>
        <w:t xml:space="preserve"> 1.0</w:t>
      </w:r>
    </w:p>
    <w:p/>
    <w:p/>
    <w:p/>
    <w:p>
      <w:pPr>
        <w:pStyle w:val="Heading2"/>
      </w:pPr>
      <w:r>
        <w:t xml:space="preserve">Purpose</w:t>
      </w:r>
    </w:p>
    <w:p/>
    <w:p>
      <w:r>
        <w:t xml:space="preserve">AI agents can take autonomous actions across your systems, sending emails, calling APIs, reading databases, and executing code. Without a structured deployment checklist you are flying blind. Use this checklist to ensure every AI agent your organisation deploys is secure, governed, and auditable before it touches production.</w:t>
      </w:r>
    </w:p>
    <w:p/>
    <w:p>
      <w:r>
        <w:t xml:space="preserve">Work through each section before go-live. Items should be completed and evidenced, not just acknowledged. Record the owner and evidence link for each item.</w:t>
      </w:r>
    </w:p>
    <w:p/>
    <w:p/>
    <w:p/>
    <w:p>
      <w:pPr>
        <w:pStyle w:val="Heading2"/>
      </w:pPr>
      <w:r>
        <w:t xml:space="preserve">01. Pre-deployment Security Assessment</w:t>
      </w:r>
    </w:p>
    <w:p/>
    <w:p>
      <w:r>
        <w:t xml:space="preserve">Before any agent touches production data, your security team must sign off on the threat surface. This is the foundation everything else rests on.</w:t>
      </w:r>
    </w:p>
    <w:p/>
    <w:p>
      <w:pPr>
        <w:ind w:left="360"/>
      </w:pPr>
      <w:r>
        <w:t xml:space="preserve">•  [ ] </w:t>
      </w:r>
      <w:r>
        <w:rPr>
          <w:b/>
        </w:rPr>
        <w:t xml:space="preserve">Threat model completed</w:t>
      </w:r>
      <w:r>
        <w:t xml:space="preserve"> — Document attack vectors specific to the agent's role: data exfiltration, prompt injection, privilege escalation, and lateral movement.</w:t>
      </w:r>
    </w:p>
    <w:p>
      <w:pPr>
        <w:ind w:left="360"/>
      </w:pPr>
      <w:r>
        <w:t xml:space="preserve">•  [ ] </w:t>
      </w:r>
      <w:r>
        <w:rPr>
          <w:b/>
        </w:rPr>
        <w:t xml:space="preserve">Data classification review</w:t>
      </w:r>
      <w:r>
        <w:t xml:space="preserve"> — Identify every data source the agent will access and classify it: public, internal, confidential, or regulated (PII, PHI, PCI).</w:t>
      </w:r>
    </w:p>
    <w:p>
      <w:pPr>
        <w:ind w:left="360"/>
      </w:pPr>
      <w:r>
        <w:t xml:space="preserve">•  [ ] </w:t>
      </w:r>
      <w:r>
        <w:rPr>
          <w:b/>
        </w:rPr>
        <w:t xml:space="preserve">Vendor security posture verified</w:t>
      </w:r>
      <w:r>
        <w:t xml:space="preserve"> — Confirm the underlying LLM provider holds SOC 2 Type II, ISO 27001, or equivalent. Review their subprocessor list and data retention policies.</w:t>
      </w:r>
    </w:p>
    <w:p>
      <w:pPr>
        <w:ind w:left="360"/>
      </w:pPr>
      <w:r>
        <w:t xml:space="preserve">•  [ ] </w:t>
      </w:r>
      <w:r>
        <w:rPr>
          <w:b/>
        </w:rPr>
        <w:t xml:space="preserve">Authentication model defined</w:t>
      </w:r>
      <w:r>
        <w:t xml:space="preserve"> — Decide how the agent authenticates to systems: service account, OAuth token, API key, or certificate. No shared credentials with human users.</w:t>
      </w:r>
    </w:p>
    <w:p>
      <w:pPr>
        <w:ind w:left="360"/>
      </w:pPr>
      <w:r>
        <w:t xml:space="preserve">•  [ ] </w:t>
      </w:r>
      <w:r>
        <w:rPr>
          <w:b/>
        </w:rPr>
        <w:t xml:space="preserve">Network exposure scoped</w:t>
      </w:r>
      <w:r>
        <w:t xml:space="preserve"> — Determine which network segments the agent can reach. Apply zero-trust micro-segmentation; the agent should only reach what it needs.</w:t>
      </w:r>
    </w:p>
    <w:p>
      <w:pPr>
        <w:ind w:left="360"/>
      </w:pPr>
      <w:r>
        <w:t xml:space="preserve">•  [ ] </w:t>
      </w:r>
      <w:r>
        <w:rPr>
          <w:b/>
        </w:rPr>
        <w:t xml:space="preserve">Regulatory compliance review</w:t>
      </w:r>
      <w:r>
        <w:t xml:space="preserve"> — Confirm the deployment complies with applicable regulations: APRA CPS 234, GDPR, HIPAA, EU AI Act, or NIST AI RMF as relevant.</w:t>
      </w:r>
    </w:p>
    <w:p/>
    <w:p/>
    <w:p/>
    <w:p>
      <w:pPr>
        <w:pStyle w:val="Heading2"/>
      </w:pPr>
      <w:r>
        <w:t xml:space="preserve">02. Data Access &amp; Permissions Scoping</w:t>
      </w:r>
    </w:p>
    <w:p/>
    <w:p>
      <w:r>
        <w:t xml:space="preserve">AI agents are remarkably effective at accessing data they should not have. Lock permissions down before deployment, not after an incident.</w:t>
      </w:r>
    </w:p>
    <w:p/>
    <w:p>
      <w:pPr>
        <w:ind w:left="360"/>
      </w:pPr>
      <w:r>
        <w:t xml:space="preserve">•  [ ] </w:t>
      </w:r>
      <w:r>
        <w:rPr>
          <w:b/>
        </w:rPr>
        <w:t xml:space="preserve">Least-privilege applied</w:t>
      </w:r>
      <w:r>
        <w:t xml:space="preserve"> — Grant only the minimum permissions the agent needs for its defined tasks. Review and remove any inherited or default permissions.</w:t>
      </w:r>
    </w:p>
    <w:p>
      <w:pPr>
        <w:ind w:left="360"/>
      </w:pPr>
      <w:r>
        <w:t xml:space="preserve">•  [ ] </w:t>
      </w:r>
      <w:r>
        <w:rPr>
          <w:b/>
        </w:rPr>
        <w:t xml:space="preserve">PII &amp; sensitive data boundaries set</w:t>
      </w:r>
      <w:r>
        <w:t xml:space="preserve"> — Explicitly block the agent from fields containing PII, financial data, or health records unless strictly required by the use case.</w:t>
      </w:r>
    </w:p>
    <w:p>
      <w:pPr>
        <w:ind w:left="360"/>
      </w:pPr>
      <w:r>
        <w:t xml:space="preserve">•  [ ] </w:t>
      </w:r>
      <w:r>
        <w:rPr>
          <w:b/>
        </w:rPr>
        <w:t xml:space="preserve">External API access whitelisted</w:t>
      </w:r>
      <w:r>
        <w:t xml:space="preserve"> — Enumerate every external API the agent can call. Block all others at the network or policy layer. Review the list quarterly.</w:t>
      </w:r>
    </w:p>
    <w:p>
      <w:pPr>
        <w:ind w:left="360"/>
      </w:pPr>
      <w:r>
        <w:t xml:space="preserve">•  [ ] </w:t>
      </w:r>
      <w:r>
        <w:rPr>
          <w:b/>
        </w:rPr>
        <w:t xml:space="preserve">Read vs write permissions separated</w:t>
      </w:r>
      <w:r>
        <w:t xml:space="preserve"> — Default to read-only for all data sources. Write permissions require explicit justification, a secondary approval, and audit logging.</w:t>
      </w:r>
    </w:p>
    <w:p>
      <w:pPr>
        <w:ind w:left="360"/>
      </w:pPr>
      <w:r>
        <w:t xml:space="preserve">•  [ ] </w:t>
      </w:r>
      <w:r>
        <w:rPr>
          <w:b/>
        </w:rPr>
        <w:t xml:space="preserve">Data retention policy defined</w:t>
      </w:r>
      <w:r>
        <w:t xml:space="preserve"> — Specify how long agent session data, tool call logs, and outputs are retained, where they are stored, and how they are deleted.</w:t>
      </w:r>
    </w:p>
    <w:p/>
    <w:p/>
    <w:p/>
    <w:p>
      <w:pPr>
        <w:pStyle w:val="Heading2"/>
      </w:pPr>
      <w:r>
        <w:t xml:space="preserve">03. API &amp; Integration Security</w:t>
      </w:r>
    </w:p>
    <w:p/>
    <w:p>
      <w:r>
        <w:t xml:space="preserve">Most AI agent breaches come through the integrations, not the model itself. Every API connection is a potential attack surface.</w:t>
      </w:r>
    </w:p>
    <w:p/>
    <w:p>
      <w:pPr>
        <w:ind w:left="360"/>
      </w:pPr>
      <w:r>
        <w:t xml:space="preserve">•  [ ] </w:t>
      </w:r>
      <w:r>
        <w:rPr>
          <w:b/>
        </w:rPr>
        <w:t xml:space="preserve">API keys in secrets manager</w:t>
      </w:r>
      <w:r>
        <w:t xml:space="preserve"> — All credentials stored in a secrets manager (AWS Secrets Manager, HashiCorp Vault, Azure Key Vault). No hardcoded keys in code or config files.</w:t>
      </w:r>
    </w:p>
    <w:p>
      <w:pPr>
        <w:ind w:left="360"/>
      </w:pPr>
      <w:r>
        <w:t xml:space="preserve">•  [ ] </w:t>
      </w:r>
      <w:r>
        <w:rPr>
          <w:b/>
        </w:rPr>
        <w:t xml:space="preserve">Rate limiting configured</w:t>
      </w:r>
      <w:r>
        <w:t xml:space="preserve"> — Apply rate limits on all API calls made by the agent. Abnormal call volume is often the first signal of a compromised or runaway agent.</w:t>
      </w:r>
    </w:p>
    <w:p>
      <w:pPr>
        <w:ind w:left="360"/>
      </w:pPr>
      <w:r>
        <w:t xml:space="preserve">•  [ ] </w:t>
      </w:r>
      <w:r>
        <w:rPr>
          <w:b/>
        </w:rPr>
        <w:t xml:space="preserve">Webhook signatures validated</w:t>
      </w:r>
      <w:r>
        <w:t xml:space="preserve"> — If the agent receives webhooks, validate HMAC signatures on every inbound request. Reject unauthenticated payloads silently.</w:t>
      </w:r>
    </w:p>
    <w:p>
      <w:pPr>
        <w:ind w:left="360"/>
      </w:pPr>
      <w:r>
        <w:t xml:space="preserve">•  [ ] </w:t>
      </w:r>
      <w:r>
        <w:rPr>
          <w:b/>
        </w:rPr>
        <w:t xml:space="preserve">Dependency vulnerability scan</w:t>
      </w:r>
      <w:r>
        <w:t xml:space="preserve"> — Run SAST/SCA on agent code and its dependencies before deployment. Block deployment if critical CVEs are unpatched.</w:t>
      </w:r>
    </w:p>
    <w:p>
      <w:pPr>
        <w:ind w:left="360"/>
      </w:pPr>
      <w:r>
        <w:t xml:space="preserve">•  [ ] </w:t>
      </w:r>
      <w:r>
        <w:rPr>
          <w:b/>
        </w:rPr>
        <w:t xml:space="preserve">Secrets rotation schedule</w:t>
      </w:r>
      <w:r>
        <w:t xml:space="preserve"> — Set a maximum credential lifetime (90 days recommended). Automate rotation and test that the agent handles rotation gracefully without downtime.</w:t>
      </w:r>
    </w:p>
    <w:p/>
    <w:p/>
    <w:p/>
    <w:p>
      <w:pPr>
        <w:pStyle w:val="Heading2"/>
      </w:pPr>
      <w:r>
        <w:t xml:space="preserve">04. Agent Behaviour Boundaries &amp; Guardrails</w:t>
      </w:r>
    </w:p>
    <w:p/>
    <w:p>
      <w:r>
        <w:t xml:space="preserve">Guardrails separate a useful AI agent from a liability. Define exactly what the agent can and cannot do, and enforce it technically, not just via policy.</w:t>
      </w:r>
    </w:p>
    <w:p/>
    <w:p>
      <w:pPr>
        <w:ind w:left="360"/>
      </w:pPr>
      <w:r>
        <w:t xml:space="preserve">•  [ ] </w:t>
      </w:r>
      <w:r>
        <w:rPr>
          <w:b/>
        </w:rPr>
        <w:t xml:space="preserve">Output filtering implemented</w:t>
      </w:r>
      <w:r>
        <w:t xml:space="preserve"> — Scan every agent output for PII, profanity, and off-topic content before it reaches users or downstream systems. Use a dedicated filtering layer, not just prompting.</w:t>
      </w:r>
    </w:p>
    <w:p>
      <w:pPr>
        <w:ind w:left="360"/>
      </w:pPr>
      <w:r>
        <w:t xml:space="preserve">•  [ ] </w:t>
      </w:r>
      <w:r>
        <w:rPr>
          <w:b/>
        </w:rPr>
        <w:t xml:space="preserve">Prompt injection controls active</w:t>
      </w:r>
      <w:r>
        <w:t xml:space="preserve"> — Implement input sanitisation for all user-supplied data fed to the agent. Test with adversarial inputs before go-live. Never trust user input.</w:t>
      </w:r>
    </w:p>
    <w:p>
      <w:pPr>
        <w:ind w:left="360"/>
      </w:pPr>
      <w:r>
        <w:t xml:space="preserve">•  [ ] </w:t>
      </w:r>
      <w:r>
        <w:rPr>
          <w:b/>
        </w:rPr>
        <w:t xml:space="preserve">Hallucination mitigation strategy</w:t>
      </w:r>
      <w:r>
        <w:t xml:space="preserve"> — Define how the agent signals uncertainty. For high-stakes outputs (financial, legal, medical), require a human review step before action is taken.</w:t>
      </w:r>
    </w:p>
    <w:p>
      <w:pPr>
        <w:ind w:left="360"/>
      </w:pPr>
      <w:r>
        <w:t xml:space="preserve">•  [ ] </w:t>
      </w:r>
      <w:r>
        <w:rPr>
          <w:b/>
        </w:rPr>
        <w:t xml:space="preserve">Action scope limits enforced</w:t>
      </w:r>
      <w:r>
        <w:t xml:space="preserve"> — Use tool-calling restrictions to prevent the agent from taking actions outside its defined scope. Prefer explicit allow-lists over block-lists.</w:t>
      </w:r>
    </w:p>
    <w:p>
      <w:pPr>
        <w:ind w:left="360"/>
      </w:pPr>
      <w:r>
        <w:t xml:space="preserve">•  [ ] </w:t>
      </w:r>
      <w:r>
        <w:rPr>
          <w:b/>
        </w:rPr>
        <w:t xml:space="preserve">Human-in-the-loop triggers defined</w:t>
      </w:r>
      <w:r>
        <w:t xml:space="preserve"> — Specify conditions that pause the agent and escalate to a human: high-value transactions, ambiguous instructions, confidence below threshold, or novel situations.</w:t>
      </w:r>
    </w:p>
    <w:p>
      <w:pPr>
        <w:ind w:left="360"/>
      </w:pPr>
      <w:r>
        <w:t xml:space="preserve">•  [ ] </w:t>
      </w:r>
      <w:r>
        <w:rPr>
          <w:b/>
        </w:rPr>
        <w:t xml:space="preserve">Refusal logic tested</w:t>
      </w:r>
      <w:r>
        <w:t xml:space="preserve"> — Verify the agent refuses out-of-scope requests, harmful prompts, and role-play attempts. Document tested edge cases and expected refusal responses.</w:t>
      </w:r>
    </w:p>
    <w:p/>
    <w:p/>
    <w:p/>
    <w:p>
      <w:pPr>
        <w:pStyle w:val="Heading2"/>
      </w:pPr>
      <w:r>
        <w:t xml:space="preserve">05. Monitoring &amp; Audit Logging</w:t>
      </w:r>
    </w:p>
    <w:p/>
    <w:p>
      <w:r>
        <w:t xml:space="preserve">You cannot govern what you cannot see. Full audit trails are non-negotiable for AI agents, both for security and for regulatory compliance.</w:t>
      </w:r>
    </w:p>
    <w:p/>
    <w:p>
      <w:pPr>
        <w:ind w:left="360"/>
      </w:pPr>
      <w:r>
        <w:t xml:space="preserve">•  [ ] </w:t>
      </w:r>
      <w:r>
        <w:rPr>
          <w:b/>
        </w:rPr>
        <w:t xml:space="preserve">Session logging enabled</w:t>
      </w:r>
      <w:r>
        <w:t xml:space="preserve"> — Log every agent session: inputs, tool calls, outputs, latency, token counts, and user identifiers. Store logs in a tamper-evident system.</w:t>
      </w:r>
    </w:p>
    <w:p>
      <w:pPr>
        <w:ind w:left="360"/>
      </w:pPr>
      <w:r>
        <w:t xml:space="preserve">•  [ ] </w:t>
      </w:r>
      <w:r>
        <w:rPr>
          <w:b/>
        </w:rPr>
        <w:t xml:space="preserve">Anomaly detection configured</w:t>
      </w:r>
      <w:r>
        <w:t xml:space="preserve"> — Set up automated alerts for unusual behaviour: excessive API calls, access to unexpected data sources, output volume spikes, or error rate increases.</w:t>
      </w:r>
    </w:p>
    <w:p>
      <w:pPr>
        <w:ind w:left="360"/>
      </w:pPr>
      <w:r>
        <w:t xml:space="preserve">•  [ ] </w:t>
      </w:r>
      <w:r>
        <w:rPr>
          <w:b/>
        </w:rPr>
        <w:t xml:space="preserve">Alert thresholds defined</w:t>
      </w:r>
      <w:r>
        <w:t xml:space="preserve"> — Agree alert thresholds with your security team before go-live. Avoid alert fatigue by calibrating sensitivity against baseline behaviour.</w:t>
      </w:r>
    </w:p>
    <w:p>
      <w:pPr>
        <w:ind w:left="360"/>
      </w:pPr>
      <w:r>
        <w:t xml:space="preserve">•  [ ] </w:t>
      </w:r>
      <w:r>
        <w:rPr>
          <w:b/>
        </w:rPr>
        <w:t xml:space="preserve">Log retention policy enforced</w:t>
      </w:r>
      <w:r>
        <w:t xml:space="preserve"> — Retain agent logs for a minimum of 12 months (or as required by applicable regulations). Ensure logs are accessible for forensic investigation.</w:t>
      </w:r>
    </w:p>
    <w:p>
      <w:pPr>
        <w:ind w:left="360"/>
      </w:pPr>
      <w:r>
        <w:t xml:space="preserve">•  [ ] </w:t>
      </w:r>
      <w:r>
        <w:rPr>
          <w:b/>
        </w:rPr>
        <w:t xml:space="preserve">SIEM integration tested</w:t>
      </w:r>
      <w:r>
        <w:t xml:space="preserve"> — Forward agent logs to your SIEM. Confirm that critical events (auth failures, scope violations, data exfiltration signals) trigger real-time alerts.</w:t>
      </w:r>
    </w:p>
    <w:p/>
    <w:p/>
    <w:p/>
    <w:p>
      <w:pPr>
        <w:pStyle w:val="Heading2"/>
      </w:pPr>
      <w:r>
        <w:t xml:space="preserve">06. Incident Response Planning</w:t>
      </w:r>
    </w:p>
    <w:p/>
    <w:p>
      <w:r>
        <w:t xml:space="preserve">When (not if) an AI agent behaves unexpectedly, you need a rehearsed response. Improvising during an incident is expensive and often makes it worse.</w:t>
      </w:r>
    </w:p>
    <w:p/>
    <w:p>
      <w:pPr>
        <w:ind w:left="360"/>
      </w:pPr>
      <w:r>
        <w:t xml:space="preserve">•  [ ] </w:t>
      </w:r>
      <w:r>
        <w:rPr>
          <w:b/>
        </w:rPr>
        <w:t xml:space="preserve">Kill switch tested</w:t>
      </w:r>
      <w:r>
        <w:t xml:space="preserve"> — Confirm you can disable the agent in under 60 seconds. Test the kill switch monthly. The agent should fail closed, doing nothing, when disabled.</w:t>
      </w:r>
    </w:p>
    <w:p>
      <w:pPr>
        <w:ind w:left="360"/>
      </w:pPr>
      <w:r>
        <w:t xml:space="preserve">•  [ ] </w:t>
      </w:r>
      <w:r>
        <w:rPr>
          <w:b/>
        </w:rPr>
        <w:t xml:space="preserve">Escalation path documented</w:t>
      </w:r>
      <w:r>
        <w:t xml:space="preserve"> — Define who is notified when an incident is detected: agent owner, security team, CISO, board (for material incidents). Publish the path.</w:t>
      </w:r>
    </w:p>
    <w:p>
      <w:pPr>
        <w:ind w:left="360"/>
      </w:pPr>
      <w:r>
        <w:t xml:space="preserve">•  [ ] </w:t>
      </w:r>
      <w:r>
        <w:rPr>
          <w:b/>
        </w:rPr>
        <w:t xml:space="preserve">Containment playbook written</w:t>
      </w:r>
      <w:r>
        <w:t xml:space="preserve"> — Document step-by-step containment actions for the most likely incident types: data leak, runaway actions, prompt injection, and service abuse.</w:t>
      </w:r>
    </w:p>
    <w:p>
      <w:pPr>
        <w:ind w:left="360"/>
      </w:pPr>
      <w:r>
        <w:t xml:space="preserve">•  [ ] </w:t>
      </w:r>
      <w:r>
        <w:rPr>
          <w:b/>
        </w:rPr>
        <w:t xml:space="preserve">User notification process defined</w:t>
      </w:r>
      <w:r>
        <w:t xml:space="preserve"> — Know in advance how and when to notify affected users. Check regulatory notification timeframes (GDPR: 72 hours; Australian Privacy Act: as soon as practicable).</w:t>
      </w:r>
    </w:p>
    <w:p>
      <w:pPr>
        <w:ind w:left="360"/>
      </w:pPr>
      <w:r>
        <w:t xml:space="preserve">•  [ ] </w:t>
      </w:r>
      <w:r>
        <w:rPr>
          <w:b/>
        </w:rPr>
        <w:t xml:space="preserve">Post-incident review scheduled</w:t>
      </w:r>
      <w:r>
        <w:t xml:space="preserve"> — Commit to a blameless post-incident review within 5 business days of any significant event. Review findings feed back into this checklist.</w:t>
      </w:r>
    </w:p>
    <w:p/>
    <w:p/>
    <w:p/>
    <w:p>
      <w:pPr>
        <w:pStyle w:val="Heading2"/>
      </w:pPr>
      <w:r>
        <w:t xml:space="preserve">07. User Communication &amp; Training</w:t>
      </w:r>
    </w:p>
    <w:p/>
    <w:p>
      <w:r>
        <w:t xml:space="preserve">The humans who interact with AI agents need to understand what they are interacting with, how to use it responsibly, and what to do if something goes wrong.</w:t>
      </w:r>
    </w:p>
    <w:p/>
    <w:p>
      <w:pPr>
        <w:ind w:left="360"/>
      </w:pPr>
      <w:r>
        <w:t xml:space="preserve">•  [ ] </w:t>
      </w:r>
      <w:r>
        <w:rPr>
          <w:b/>
        </w:rPr>
        <w:t xml:space="preserve">Acceptable use guidelines published</w:t>
      </w:r>
      <w:r>
        <w:t xml:space="preserve"> — Publish clear guidelines on what users can and cannot ask the agent to do. Include examples of appropriate and inappropriate use cases.</w:t>
      </w:r>
    </w:p>
    <w:p>
      <w:pPr>
        <w:ind w:left="360"/>
      </w:pPr>
      <w:r>
        <w:t xml:space="preserve">•  [ ] </w:t>
      </w:r>
      <w:r>
        <w:rPr>
          <w:b/>
        </w:rPr>
        <w:t xml:space="preserve">Privacy notice updated</w:t>
      </w:r>
      <w:r>
        <w:t xml:space="preserve"> — Update your privacy notice to disclose AI agent usage, data processing, and any third-party model providers. Obtain consent where required.</w:t>
      </w:r>
    </w:p>
    <w:p>
      <w:pPr>
        <w:ind w:left="360"/>
      </w:pPr>
      <w:r>
        <w:t xml:space="preserve">•  [ ] </w:t>
      </w:r>
      <w:r>
        <w:rPr>
          <w:b/>
        </w:rPr>
        <w:t xml:space="preserve">Feedback &amp; reporting channel live</w:t>
      </w:r>
      <w:r>
        <w:t xml:space="preserve"> — Give users a simple way to report concerning agent behaviour. Review reports weekly. Close the loop with users who report valid issues.</w:t>
      </w:r>
    </w:p>
    <w:p>
      <w:pPr>
        <w:ind w:left="360"/>
      </w:pPr>
      <w:r>
        <w:t xml:space="preserve">•  [ ] </w:t>
      </w:r>
      <w:r>
        <w:rPr>
          <w:b/>
        </w:rPr>
        <w:t xml:space="preserve">Awareness training delivered</w:t>
      </w:r>
      <w:r>
        <w:t xml:space="preserve"> — Train all users who interact with the agent before go-live. Cover what it can do, what it cannot do, how to spot errors, and how to escalate concerns.</w:t>
      </w:r>
    </w:p>
    <w:p/>
    <w:p/>
    <w:p/>
    <w:p>
      <w:pPr>
        <w:pStyle w:val="Heading2"/>
      </w:pPr>
      <w:r>
        <w:t xml:space="preserve">08. Post-deployment Review Schedule</w:t>
      </w:r>
    </w:p>
    <w:p/>
    <w:p>
      <w:r>
        <w:t xml:space="preserve">AI agents are not set-and-forget deployments. The model, the threat landscape, and your organisation's requirements all change. Build review cycles in from day one.</w:t>
      </w:r>
    </w:p>
    <w:p/>
    <w:p>
      <w:pPr>
        <w:ind w:left="360"/>
      </w:pPr>
      <w:r>
        <w:t xml:space="preserve">•  [ ] </w:t>
      </w:r>
      <w:r>
        <w:rPr>
          <w:b/>
        </w:rPr>
        <w:t xml:space="preserve">30-day review completed</w:t>
      </w:r>
      <w:r>
        <w:t xml:space="preserve"> — At 30 days post-deployment, review logs, user feedback, incident reports, and performance metrics. Adjust guardrails and permissions based on real usage patterns.</w:t>
      </w:r>
    </w:p>
    <w:p>
      <w:pPr>
        <w:ind w:left="360"/>
      </w:pPr>
      <w:r>
        <w:t xml:space="preserve">•  [ ] </w:t>
      </w:r>
      <w:r>
        <w:rPr>
          <w:b/>
        </w:rPr>
        <w:t xml:space="preserve">Quarterly security audit scheduled</w:t>
      </w:r>
      <w:r>
        <w:t xml:space="preserve"> — Schedule a quarterly audit covering permission review, dependency updates, threat model refresh, and penetration test of agent interfaces.</w:t>
      </w:r>
    </w:p>
    <w:p>
      <w:pPr>
        <w:ind w:left="360"/>
      </w:pPr>
      <w:r>
        <w:t xml:space="preserve">•  [ ] </w:t>
      </w:r>
      <w:r>
        <w:rPr>
          <w:b/>
        </w:rPr>
        <w:t xml:space="preserve">Model update policy defined</w:t>
      </w:r>
      <w:r>
        <w:t xml:space="preserve"> — Define who approves model version updates, what testing is required before updates, and how you will validate behaviour has not changed unacceptably.</w:t>
      </w:r>
    </w:p>
    <w:p>
      <w:pPr>
        <w:ind w:left="360"/>
      </w:pPr>
      <w:r>
        <w:t xml:space="preserve">•  [ ] </w:t>
      </w:r>
      <w:r>
        <w:rPr>
          <w:b/>
        </w:rPr>
        <w:t xml:space="preserve">Governance board sign-off process</w:t>
      </w:r>
      <w:r>
        <w:t xml:space="preserve"> — For high-risk agent deployments, require governance board review annually. Include AI risk register updates and attestation by the accountable executive.</w:t>
      </w:r>
    </w:p>
    <w:p/>
    <w:p/>
    <w:p/>
    <w:p>
      <w:pPr>
        <w:pStyle w:val="Heading2"/>
      </w:pPr>
      <w:r>
        <w:t xml:space="preserve">Sign-off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250"/>
        <w:gridCol w:w="1250"/>
        <w:gridCol w:w="1250"/>
        <w:gridCol w:w="1250"/>
      </w:tblGrid>
      <w:tr>
        <w:tc>
          <w:tcPr>
            <w:tcW w:w="1250" w:type="pct"/>
            <w:shd w:val="clear" w:color="auto" w:fill="EEEEEE"/>
          </w:tcPr>
          <w:p>
            <w:r>
              <w:t xml:space="preserve">Role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Name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Decision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Date</w:t>
            </w:r>
          </w:p>
        </w:tc>
      </w:tr>
      <w:tr>
        <w:tc>
          <w:tcPr>
            <w:tcW w:w="1250" w:type="pct"/>
          </w:tcPr>
          <w:p>
            <w:r>
              <w:t xml:space="preserve">Agent owner</w:t>
            </w:r>
          </w:p>
        </w:tc>
        <w:tc>
          <w:tcPr>
            <w:tcW w:w="1250" w:type="pct"/>
          </w:tcPr>
          <w:p>
            <w:r>
              <w:t xml:space="preserve">[NAME]</w:t>
            </w:r>
          </w:p>
        </w:tc>
        <w:tc>
          <w:tcPr>
            <w:tcW w:w="1250" w:type="pct"/>
          </w:tcPr>
          <w:p>
            <w:r>
              <w:t xml:space="preserve">Approve / Reject</w:t>
            </w:r>
          </w:p>
        </w:tc>
        <w:tc>
          <w:tcPr>
            <w:tcW w:w="1250" w:type="pct"/>
          </w:tcPr>
          <w:p>
            <w:r>
              <w:t xml:space="preserve">[DATE]</w:t>
            </w:r>
          </w:p>
        </w:tc>
      </w:tr>
      <w:tr>
        <w:tc>
          <w:tcPr>
            <w:tcW w:w="1250" w:type="pct"/>
          </w:tcPr>
          <w:p>
            <w:r>
              <w:t xml:space="preserve">Security owner</w:t>
            </w:r>
          </w:p>
        </w:tc>
        <w:tc>
          <w:tcPr>
            <w:tcW w:w="1250" w:type="pct"/>
          </w:tcPr>
          <w:p>
            <w:r>
              <w:t xml:space="preserve">[NAME]</w:t>
            </w:r>
          </w:p>
        </w:tc>
        <w:tc>
          <w:tcPr>
            <w:tcW w:w="1250" w:type="pct"/>
          </w:tcPr>
          <w:p>
            <w:r>
              <w:t xml:space="preserve">Approve / Reject</w:t>
            </w:r>
          </w:p>
        </w:tc>
        <w:tc>
          <w:tcPr>
            <w:tcW w:w="1250" w:type="pct"/>
          </w:tcPr>
          <w:p>
            <w:r>
              <w:t xml:space="preserve">[DATE]</w:t>
            </w:r>
          </w:p>
        </w:tc>
      </w:tr>
      <w:tr>
        <w:tc>
          <w:tcPr>
            <w:tcW w:w="1250" w:type="pct"/>
          </w:tcPr>
          <w:p>
            <w:r>
              <w:t xml:space="preserve">Data protection / privacy</w:t>
            </w:r>
          </w:p>
        </w:tc>
        <w:tc>
          <w:tcPr>
            <w:tcW w:w="1250" w:type="pct"/>
          </w:tcPr>
          <w:p>
            <w:r>
              <w:t xml:space="preserve">[NAME]</w:t>
            </w:r>
          </w:p>
        </w:tc>
        <w:tc>
          <w:tcPr>
            <w:tcW w:w="1250" w:type="pct"/>
          </w:tcPr>
          <w:p>
            <w:r>
              <w:t xml:space="preserve">Approve / Reject</w:t>
            </w:r>
          </w:p>
        </w:tc>
        <w:tc>
          <w:tcPr>
            <w:tcW w:w="1250" w:type="pct"/>
          </w:tcPr>
          <w:p>
            <w:r>
              <w:t xml:space="preserve">[DATE]</w:t>
            </w:r>
          </w:p>
        </w:tc>
      </w:tr>
      <w:tr>
        <w:tc>
          <w:tcPr>
            <w:tcW w:w="1250" w:type="pct"/>
          </w:tcPr>
          <w:p>
            <w:r>
              <w:t xml:space="preserve">Accountable executive</w:t>
            </w:r>
          </w:p>
        </w:tc>
        <w:tc>
          <w:tcPr>
            <w:tcW w:w="1250" w:type="pct"/>
          </w:tcPr>
          <w:p>
            <w:r>
              <w:t xml:space="preserve">[NAME]</w:t>
            </w:r>
          </w:p>
        </w:tc>
        <w:tc>
          <w:tcPr>
            <w:tcW w:w="1250" w:type="pct"/>
          </w:tcPr>
          <w:p>
            <w:r>
              <w:t xml:space="preserve">Approve / Reject</w:t>
            </w:r>
          </w:p>
        </w:tc>
        <w:tc>
          <w:tcPr>
            <w:tcW w:w="1250" w:type="pct"/>
          </w:tcPr>
          <w:p>
            <w:r>
              <w:t xml:space="preserve">[DATE]</w:t>
            </w:r>
          </w:p>
        </w:tc>
      </w:tr>
    </w:tbl>
    <w:p/>
    <w:p/>
    <w:p/>
    <w:p>
      <w:r>
        <w:rPr>
          <w:i/>
        </w:rPr>
        <w:t xml:space="preserve">This template is provided free by Aona AI. Customise it to your organisation. See `/resources/templates` for related security, risk, and governance templates.</w:t>
      </w:r>
    </w:p>
    <w:p/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60" w:line="276" w:lineRule="auto"/>
      </w:pPr>
    </w:pPrDefault>
  </w:docDefaults>
  <w:style w:type="paragraph" w:styleId="Heading1">
    <w:name w:val="heading 1"/>
    <w:pPr>
      <w:spacing w:before="360" w:after="120"/>
      <w:outlineLvl w:val="0"/>
    </w:pPr>
    <w:rPr>
      <w:b/>
      <w:sz w:val="40"/>
      <w:color w:val="11021D"/>
    </w:rPr>
  </w:style>
  <w:style w:type="paragraph" w:styleId="Heading2">
    <w:name w:val="heading 2"/>
    <w:pPr>
      <w:spacing w:before="280" w:after="100"/>
      <w:outlineLvl w:val="1"/>
    </w:pPr>
    <w:rPr>
      <w:b/>
      <w:sz w:val="32"/>
      <w:color w:val="6412A6"/>
    </w:rPr>
  </w:style>
  <w:style w:type="paragraph" w:styleId="Heading3">
    <w:name w:val="heading 3"/>
    <w:pPr>
      <w:spacing w:before="220" w:after="80"/>
      <w:outlineLvl w:val="2"/>
    </w:pPr>
    <w:rPr>
      <w:b/>
      <w:sz w:val="26"/>
      <w:color w:val="333333"/>
    </w:rPr>
  </w:style>
  <w:style w:type="paragraph" w:styleId="Heading4">
    <w:name w:val="heading 4"/>
    <w:pPr>
      <w:spacing w:before="180" w:after="60"/>
      <w:outlineLvl w:val="3"/>
    </w:pPr>
    <w:rPr>
      <w:b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>
  <Application>Aona AI Template Generator</Application>
  <Company>Aona AI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ai-agent-deployment-checklist</dc:title>
  <dc:creator>Aona AI</dc:creator>
  <cp:lastModifiedBy>Aona AI</cp:lastModifiedBy>
  <dcterms:created xsi:type="dcterms:W3CDTF">2026-04-16T00:00:00Z</dcterms:created>
  <dcterms:modified xsi:type="dcterms:W3CDTF">2026-04-16T00:00:00Z</dcterms:modified>
</cp:coreProperties>
</file>