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AI Vendor Contract Clauses</w:t>
      </w:r>
    </w:p>
    <w:p/>
    <w:p>
      <w:r>
        <w:rPr>
          <w:b/>
        </w:rPr>
        <w:t xml:space="preserve">Organization:</w:t>
      </w:r>
      <w:r>
        <w:t xml:space="preserve"> [ORGANIZATION NAME]</w:t>
      </w:r>
    </w:p>
    <w:p>
      <w:r>
        <w:rPr>
          <w:b/>
        </w:rPr>
        <w:t xml:space="preserve">Counterparty:</w:t>
      </w:r>
      <w:r>
        <w:t xml:space="preserve"> [VENDOR NAME]</w:t>
      </w:r>
    </w:p>
    <w:p>
      <w:r>
        <w:rPr>
          <w:b/>
        </w:rPr>
        <w:t xml:space="preserve">Prepared by:</w:t>
      </w:r>
      <w:r>
        <w:t xml:space="preserve"> [NAME / ROLE]</w:t>
      </w:r>
    </w:p>
    <w:p>
      <w:r>
        <w:rPr>
          <w:b/>
        </w:rPr>
        <w:t xml:space="preserve">Date:</w:t>
      </w:r>
      <w:r>
        <w:t xml:space="preserve"> [DATE]</w:t>
      </w:r>
    </w:p>
    <w:p>
      <w:r>
        <w:rPr>
          <w:b/>
        </w:rPr>
        <w:t xml:space="preserve">Version:</w:t>
      </w:r>
      <w:r>
        <w:t xml:space="preserve"> 1.0</w:t>
      </w:r>
    </w:p>
    <w:p/>
    <w:p/>
    <w:p/>
    <w:p>
      <w:pPr>
        <w:pStyle w:val="Heading2"/>
      </w:pPr>
      <w:r>
        <w:t xml:space="preserve">Purpose</w:t>
      </w:r>
    </w:p>
    <w:p/>
    <w:p>
      <w:r>
        <w:t xml:space="preserve">A library of pre-drafted contract language for AI and machine learning vendor agreements. These clauses are drafted to be inserted into a Master Services Agreement, Data Processing Agreement, or AI-specific rider. They cover the areas standard SaaS contracts typically leave ambiguous or silent: training data use, model change control, output IP, evaluation rights, and liability for AI-specific harms.</w:t>
      </w:r>
    </w:p>
    <w:p/>
    <w:p>
      <w:pPr>
        <w:ind w:left="360"/>
      </w:pPr>
      <w:r>
        <w:rPr>
          <w:b/>
        </w:rPr>
        <w:t xml:space="preserve">Legal disclaimer.</w:t>
      </w:r>
      <w:r>
        <w:t xml:space="preserve"> Contract language is highly context-dependent. Have these clauses reviewed by qualified counsel before use. Nothing in this document is legal advice.</w:t>
      </w:r>
    </w:p>
    <w:p/>
    <w:p/>
    <w:p/>
    <w:p>
      <w:pPr>
        <w:pStyle w:val="Heading2"/>
      </w:pPr>
      <w:r>
        <w:t xml:space="preserve">How to Use</w:t>
      </w:r>
    </w:p>
    <w:p/>
    <w:p>
      <w:pPr>
        <w:ind w:left="360"/>
      </w:pPr>
      <w:r>
        <w:t xml:space="preserve">•  Map each clause to the relevant section of your base agreement (MSA, DPA, SCCs, OST, or an AI Rider).</w:t>
      </w:r>
    </w:p>
    <w:p>
      <w:pPr>
        <w:ind w:left="360"/>
      </w:pPr>
      <w:r>
        <w:t xml:space="preserve">•  Strike or negotiate the square-bracketed options to match your risk tolerance.</w:t>
      </w:r>
    </w:p>
    <w:p>
      <w:pPr>
        <w:ind w:left="360"/>
      </w:pPr>
      <w:r>
        <w:t xml:space="preserve">•  Attach the AI Vendor Security Questionnaire and the AI Vendor Evaluation Scorecard outputs as schedules.</w:t>
      </w:r>
    </w:p>
    <w:p>
      <w:pPr>
        <w:ind w:left="360"/>
      </w:pPr>
      <w:r>
        <w:t xml:space="preserve">•  Keep a signed and countersigned copy in your vendor management system.</w:t>
      </w:r>
    </w:p>
    <w:p/>
    <w:p/>
    <w:p/>
    <w:p>
      <w:pPr>
        <w:pStyle w:val="Heading2"/>
      </w:pPr>
      <w:r>
        <w:t xml:space="preserve">Clause 1 — Definitions</w:t>
      </w:r>
    </w:p>
    <w:p/>
    <w:p>
      <w:pPr>
        <w:ind w:left="360"/>
      </w:pPr>
      <w:r>
        <w:rPr>
          <w:b/>
        </w:rPr>
        <w:t xml:space="preserve">"AI System"</w:t>
      </w:r>
      <w:r>
        <w:t xml:space="preserve"> means any software, model, API, or service provided by Vendor that uses machine learning, generative AI, foundation models, or other automated decision systems.</w:t>
      </w:r>
    </w:p>
    <w:p>
      <w:r>
        <w:t xml:space="preserve">&gt;</w:t>
      </w:r>
    </w:p>
    <w:p>
      <w:pPr>
        <w:ind w:left="360"/>
      </w:pPr>
      <w:r>
        <w:rPr>
          <w:b/>
        </w:rPr>
        <w:t xml:space="preserve">"Customer Data"</w:t>
      </w:r>
      <w:r>
        <w:t xml:space="preserve"> means data, prompts, files, logs, instructions, and outputs submitted to or returned by the AI System by or on behalf of Customer.</w:t>
      </w:r>
    </w:p>
    <w:p>
      <w:r>
        <w:t xml:space="preserve">&gt;</w:t>
      </w:r>
    </w:p>
    <w:p>
      <w:pPr>
        <w:ind w:left="360"/>
      </w:pPr>
      <w:r>
        <w:rPr>
          <w:b/>
        </w:rPr>
        <w:t xml:space="preserve">"Training"</w:t>
      </w:r>
      <w:r>
        <w:t xml:space="preserve"> means any activity that creates, updates, fine-tunes, pre-trains, post-trains, or otherwise modifies the weights or parameters of any model.</w:t>
      </w:r>
    </w:p>
    <w:p>
      <w:r>
        <w:t xml:space="preserve">&gt;</w:t>
      </w:r>
    </w:p>
    <w:p>
      <w:pPr>
        <w:ind w:left="360"/>
      </w:pPr>
      <w:r>
        <w:rPr>
          <w:b/>
        </w:rPr>
        <w:t xml:space="preserve">"Sub-processor"</w:t>
      </w:r>
      <w:r>
        <w:t xml:space="preserve"> means any third party engaged by Vendor to process Customer Data, including any third-party foundation model provider.</w:t>
      </w:r>
    </w:p>
    <w:p/>
    <w:p/>
    <w:p/>
    <w:p>
      <w:pPr>
        <w:pStyle w:val="Heading2"/>
      </w:pPr>
      <w:r>
        <w:t xml:space="preserve">Clause 2 — Training Data Use</w:t>
      </w:r>
    </w:p>
    <w:p/>
    <w:p>
      <w:pPr>
        <w:ind w:left="360"/>
      </w:pPr>
      <w:r>
        <w:t xml:space="preserve">2.1 Vendor shall </w:t>
      </w:r>
      <w:r>
        <w:rPr>
          <w:b/>
        </w:rPr>
        <w:t xml:space="preserve">not</w:t>
      </w:r>
      <w:r>
        <w:t xml:space="preserve"> use Customer Data for Training of any model, foundation model, or system, whether general-purpose or customer-specific, without Customer's prior express written consent.</w:t>
      </w:r>
    </w:p>
    <w:p>
      <w:r>
        <w:t xml:space="preserve">&gt;</w:t>
      </w:r>
    </w:p>
    <w:p>
      <w:pPr>
        <w:ind w:left="360"/>
      </w:pPr>
      <w:r>
        <w:t xml:space="preserve">2.2 The prohibition in 2.1 applies to model weights, embeddings, fine-tunes, RLHF datasets, evaluations, and any derivative artifacts. De-identification or anonymization does </w:t>
      </w:r>
      <w:r>
        <w:rPr>
          <w:b/>
        </w:rPr>
        <w:t xml:space="preserve">not</w:t>
      </w:r>
      <w:r>
        <w:t xml:space="preserve"> permit Training use.</w:t>
      </w:r>
    </w:p>
    <w:p>
      <w:r>
        <w:t xml:space="preserve">&gt;</w:t>
      </w:r>
    </w:p>
    <w:p>
      <w:pPr>
        <w:ind w:left="360"/>
      </w:pPr>
      <w:r>
        <w:t xml:space="preserve">2.3 Vendor represents that its sub-processors are contractually bound by the same prohibition and shall furnish evidence of such binding on Customer's request.</w:t>
      </w:r>
    </w:p>
    <w:p>
      <w:r>
        <w:t xml:space="preserve">&gt;</w:t>
      </w:r>
    </w:p>
    <w:p>
      <w:pPr>
        <w:ind w:left="360"/>
      </w:pPr>
      <w:r>
        <w:t xml:space="preserve">2.4 Breach of Sections 2.1–2.3 is a material breach and grants Customer immediate termination rights, full refund of prepaid fees, and no limitation of liability under the agreement.</w:t>
      </w:r>
    </w:p>
    <w:p/>
    <w:p/>
    <w:p/>
    <w:p>
      <w:pPr>
        <w:pStyle w:val="Heading2"/>
      </w:pPr>
      <w:r>
        <w:t xml:space="preserve">Clause 3 — Data Processing, Residency, and Retention</w:t>
      </w:r>
    </w:p>
    <w:p/>
    <w:p>
      <w:pPr>
        <w:ind w:left="360"/>
      </w:pPr>
      <w:r>
        <w:t xml:space="preserve">3.1 Vendor shall process Customer Data solely to provide the Services described in the Order Form.</w:t>
      </w:r>
    </w:p>
    <w:p>
      <w:r>
        <w:t xml:space="preserve">&gt;</w:t>
      </w:r>
    </w:p>
    <w:p>
      <w:pPr>
        <w:ind w:left="360"/>
      </w:pPr>
      <w:r>
        <w:t xml:space="preserve">3.2 Customer Data shall be stored and processed </w:t>
      </w:r>
      <w:r>
        <w:rPr>
          <w:b/>
        </w:rPr>
        <w:t xml:space="preserve">only</w:t>
      </w:r>
      <w:r>
        <w:t xml:space="preserve"> in [APPROVED REGIONS]. Any processing outside the approved regions requires [30] days prior written notice and Customer's consent.</w:t>
      </w:r>
    </w:p>
    <w:p>
      <w:r>
        <w:t xml:space="preserve">&gt;</w:t>
      </w:r>
    </w:p>
    <w:p>
      <w:pPr>
        <w:ind w:left="360"/>
      </w:pPr>
      <w:r>
        <w:t xml:space="preserve">3.3 Prompt, output, and telemetry logs shall be retained for no more than [30 days] unless Customer configures a longer retention period.</w:t>
      </w:r>
    </w:p>
    <w:p>
      <w:r>
        <w:t xml:space="preserve">&gt;</w:t>
      </w:r>
    </w:p>
    <w:p>
      <w:pPr>
        <w:ind w:left="360"/>
      </w:pPr>
      <w:r>
        <w:t xml:space="preserve">3.4 On termination, Vendor shall return or irrevocably delete Customer Data within [30 days] and certify deletion in writing. Backup data shall be overwritten per Vendor's documented rotation, not to exceed [90 days].</w:t>
      </w:r>
    </w:p>
    <w:p/>
    <w:p/>
    <w:p/>
    <w:p>
      <w:pPr>
        <w:pStyle w:val="Heading2"/>
      </w:pPr>
      <w:r>
        <w:t xml:space="preserve">Clause 4 — Model Ownership and IP</w:t>
      </w:r>
    </w:p>
    <w:p/>
    <w:p>
      <w:pPr>
        <w:ind w:left="360"/>
      </w:pPr>
      <w:r>
        <w:t xml:space="preserve">4.1 Customer owns all right, title, and interest in Customer Data, prompts, and outputs generated by the AI System from Customer Data.</w:t>
      </w:r>
    </w:p>
    <w:p>
      <w:r>
        <w:t xml:space="preserve">&gt;</w:t>
      </w:r>
    </w:p>
    <w:p>
      <w:pPr>
        <w:ind w:left="360"/>
      </w:pPr>
      <w:r>
        <w:t xml:space="preserve">4.2 Vendor retains ownership of its pre-existing models, weights, and Vendor-developed software.</w:t>
      </w:r>
    </w:p>
    <w:p>
      <w:r>
        <w:t xml:space="preserve">&gt;</w:t>
      </w:r>
    </w:p>
    <w:p>
      <w:pPr>
        <w:ind w:left="360"/>
      </w:pPr>
      <w:r>
        <w:t xml:space="preserve">4.3 Vendor assigns to Customer all right, title, and interest in any custom model, fine-tune, or adapter produced from Customer Data, subject to Vendor's underlying foundation model rights.</w:t>
      </w:r>
    </w:p>
    <w:p>
      <w:r>
        <w:t xml:space="preserve">&gt;</w:t>
      </w:r>
    </w:p>
    <w:p>
      <w:pPr>
        <w:ind w:left="360"/>
      </w:pPr>
      <w:r>
        <w:t xml:space="preserve">4.4 Vendor represents that no output of the AI System knowingly infringes the IP rights of any third party, and Vendor provides indemnity for such claims per Clause 11.</w:t>
      </w:r>
    </w:p>
    <w:p/>
    <w:p/>
    <w:p/>
    <w:p>
      <w:pPr>
        <w:pStyle w:val="Heading2"/>
      </w:pPr>
      <w:r>
        <w:t xml:space="preserve">Clause 5 — Model Change Control and Transparency</w:t>
      </w:r>
    </w:p>
    <w:p/>
    <w:p>
      <w:pPr>
        <w:ind w:left="360"/>
      </w:pPr>
      <w:r>
        <w:t xml:space="preserve">5.1 Vendor shall publish and maintain a list of all models and model versions currently deployed to Customer (including any third-party foundation models).</w:t>
      </w:r>
    </w:p>
    <w:p>
      <w:r>
        <w:t xml:space="preserve">&gt;</w:t>
      </w:r>
    </w:p>
    <w:p>
      <w:pPr>
        <w:ind w:left="360"/>
      </w:pPr>
      <w:r>
        <w:t xml:space="preserve">5.2 Vendor shall provide [60] days prior written notice of any material change to a model version, prompt scaffolding, or system prompt that affects deterministic output, accuracy, safety filter behavior, or data handling.</w:t>
      </w:r>
    </w:p>
    <w:p>
      <w:r>
        <w:t xml:space="preserve">&gt;</w:t>
      </w:r>
    </w:p>
    <w:p>
      <w:pPr>
        <w:ind w:left="360"/>
      </w:pPr>
      <w:r>
        <w:t xml:space="preserve">5.3 Customer may pin a specific model version for up to [12 months] following release.</w:t>
      </w:r>
    </w:p>
    <w:p>
      <w:r>
        <w:t xml:space="preserve">&gt;</w:t>
      </w:r>
    </w:p>
    <w:p>
      <w:pPr>
        <w:ind w:left="360"/>
      </w:pPr>
      <w:r>
        <w:t xml:space="preserve">5.4 Vendor shall document material changes in the system card or release notes and provide re-evaluation results on request.</w:t>
      </w:r>
    </w:p>
    <w:p/>
    <w:p/>
    <w:p/>
    <w:p>
      <w:pPr>
        <w:pStyle w:val="Heading2"/>
      </w:pPr>
      <w:r>
        <w:t xml:space="preserve">Clause 6 — Evaluation, Testing, and Red-Team Rights</w:t>
      </w:r>
    </w:p>
    <w:p/>
    <w:p>
      <w:pPr>
        <w:ind w:left="360"/>
      </w:pPr>
      <w:r>
        <w:t xml:space="preserve">6.1 Customer may conduct its own evaluation, bias testing, red-teaming, and penetration testing of the AI System for its own use, subject to Vendor's published Acceptable Use Policy.</w:t>
      </w:r>
    </w:p>
    <w:p>
      <w:r>
        <w:t xml:space="preserve">&gt;</w:t>
      </w:r>
    </w:p>
    <w:p>
      <w:pPr>
        <w:ind w:left="360"/>
      </w:pPr>
      <w:r>
        <w:t xml:space="preserve">6.2 Testing rights include adversarial prompting, prompt-injection testing, jailbreak probing, and automated evaluation against public or private benchmark sets.</w:t>
      </w:r>
    </w:p>
    <w:p>
      <w:r>
        <w:t xml:space="preserve">&gt;</w:t>
      </w:r>
    </w:p>
    <w:p>
      <w:pPr>
        <w:ind w:left="360"/>
      </w:pPr>
      <w:r>
        <w:t xml:space="preserve">6.3 Vendor shall not restrict Customer from sharing evaluation results internally, with its auditors, or with its regulators.</w:t>
      </w:r>
    </w:p>
    <w:p>
      <w:r>
        <w:t xml:space="preserve">&gt;</w:t>
      </w:r>
    </w:p>
    <w:p>
      <w:pPr>
        <w:ind w:left="360"/>
      </w:pPr>
      <w:r>
        <w:t xml:space="preserve">6.4 Findings are confidential and will be disclosed to Vendor under responsible disclosure.</w:t>
      </w:r>
    </w:p>
    <w:p/>
    <w:p/>
    <w:p/>
    <w:p>
      <w:pPr>
        <w:pStyle w:val="Heading2"/>
      </w:pPr>
      <w:r>
        <w:t xml:space="preserve">Clause 7 — Security Requirements</w:t>
      </w:r>
    </w:p>
    <w:p/>
    <w:p>
      <w:pPr>
        <w:ind w:left="360"/>
      </w:pPr>
      <w:r>
        <w:t xml:space="preserve">7.1 Vendor shall maintain SOC 2 Type II [or ISO 27001] attestation for the duration of the agreement. Attestation reports shall be provided annually at no additional cost.</w:t>
      </w:r>
    </w:p>
    <w:p>
      <w:r>
        <w:t xml:space="preserve">&gt;</w:t>
      </w:r>
    </w:p>
    <w:p>
      <w:pPr>
        <w:ind w:left="360"/>
      </w:pPr>
      <w:r>
        <w:t xml:space="preserve">7.2 Vendor shall maintain ISO 42001 certification [or equivalent AI management system attestation] once generally available for the provided service tier.</w:t>
      </w:r>
    </w:p>
    <w:p>
      <w:r>
        <w:t xml:space="preserve">&gt;</w:t>
      </w:r>
    </w:p>
    <w:p>
      <w:pPr>
        <w:ind w:left="360"/>
      </w:pPr>
      <w:r>
        <w:t xml:space="preserve">7.3 Vendor shall encrypt Customer Data in transit (TLS 1.2+) and at rest (AES-256 or stronger).</w:t>
      </w:r>
    </w:p>
    <w:p>
      <w:r>
        <w:t xml:space="preserve">&gt;</w:t>
      </w:r>
    </w:p>
    <w:p>
      <w:pPr>
        <w:ind w:left="360"/>
      </w:pPr>
      <w:r>
        <w:t xml:space="preserve">7.4 Vendor shall maintain a documented Secure Software Development Lifecycle for all AI components, including threat modeling for prompt injection, data exfiltration, and model abuse.</w:t>
      </w:r>
    </w:p>
    <w:p/>
    <w:p/>
    <w:p/>
    <w:p>
      <w:pPr>
        <w:pStyle w:val="Heading2"/>
      </w:pPr>
      <w:r>
        <w:t xml:space="preserve">Clause 8 — Incident Notification</w:t>
      </w:r>
    </w:p>
    <w:p/>
    <w:p>
      <w:pPr>
        <w:ind w:left="360"/>
      </w:pPr>
      <w:r>
        <w:t xml:space="preserve">8.1 Vendor shall notify Customer within [24] hours of becoming aware of any Security Incident involving Customer Data.</w:t>
      </w:r>
    </w:p>
    <w:p>
      <w:r>
        <w:t xml:space="preserve">&gt;</w:t>
      </w:r>
    </w:p>
    <w:p>
      <w:pPr>
        <w:ind w:left="360"/>
      </w:pPr>
      <w:r>
        <w:t xml:space="preserve">8.2 Security Incident includes unauthorized access, accidental disclosure via model output, training-data leakage, prompt-log exfiltration, unauthorized sub-processor access, and any confirmed prompt-injection or model-abuse event affecting Customer.</w:t>
      </w:r>
    </w:p>
    <w:p>
      <w:r>
        <w:t xml:space="preserve">&gt;</w:t>
      </w:r>
    </w:p>
    <w:p>
      <w:pPr>
        <w:ind w:left="360"/>
      </w:pPr>
      <w:r>
        <w:t xml:space="preserve">8.3 Vendor shall provide, at no cost, forensic support, a written root-cause analysis within [30] days, and remediation plan approval rights for Customer.</w:t>
      </w:r>
    </w:p>
    <w:p/>
    <w:p/>
    <w:p/>
    <w:p>
      <w:pPr>
        <w:pStyle w:val="Heading2"/>
      </w:pPr>
      <w:r>
        <w:t xml:space="preserve">Clause 9 — Sub-processors</w:t>
      </w:r>
    </w:p>
    <w:p/>
    <w:p>
      <w:pPr>
        <w:ind w:left="360"/>
      </w:pPr>
      <w:r>
        <w:t xml:space="preserve">9.1 Vendor shall maintain a current list of sub-processors at [URL], including all foundation model providers.</w:t>
      </w:r>
    </w:p>
    <w:p>
      <w:r>
        <w:t xml:space="preserve">&gt;</w:t>
      </w:r>
    </w:p>
    <w:p>
      <w:pPr>
        <w:ind w:left="360"/>
      </w:pPr>
      <w:r>
        <w:t xml:space="preserve">9.2 Vendor shall provide [30] days prior written notice of new or replacement sub-processors and allow Customer a reasonable right to object.</w:t>
      </w:r>
    </w:p>
    <w:p>
      <w:r>
        <w:t xml:space="preserve">&gt;</w:t>
      </w:r>
    </w:p>
    <w:p>
      <w:pPr>
        <w:ind w:left="360"/>
      </w:pPr>
      <w:r>
        <w:t xml:space="preserve">9.3 Vendor shall pass through these AI-specific obligations to all sub-processors via written contract.</w:t>
      </w:r>
    </w:p>
    <w:p/>
    <w:p/>
    <w:p/>
    <w:p>
      <w:pPr>
        <w:pStyle w:val="Heading2"/>
      </w:pPr>
      <w:r>
        <w:t xml:space="preserve">Clause 10 — Compliance with AI-Specific Law</w:t>
      </w:r>
    </w:p>
    <w:p/>
    <w:p>
      <w:pPr>
        <w:ind w:left="360"/>
      </w:pPr>
      <w:r>
        <w:t xml:space="preserve">10.1 Vendor represents that the AI System, as delivered, is capable of being used in compliance with the EU AI Act, GDPR Article 22, applicable US state AI laws [list], and sector-specific regulations applicable to Customer.</w:t>
      </w:r>
    </w:p>
    <w:p>
      <w:r>
        <w:t xml:space="preserve">&gt;</w:t>
      </w:r>
    </w:p>
    <w:p>
      <w:pPr>
        <w:ind w:left="360"/>
      </w:pPr>
      <w:r>
        <w:t xml:space="preserve">10.2 On Customer's reasonable request, Vendor shall provide: conformity assessment documentation, data governance evidence per EU AI Act Article 10, system cards, model cards, and post-market monitoring reports.</w:t>
      </w:r>
    </w:p>
    <w:p>
      <w:r>
        <w:t xml:space="preserve">&gt;</w:t>
      </w:r>
    </w:p>
    <w:p>
      <w:pPr>
        <w:ind w:left="360"/>
      </w:pPr>
      <w:r>
        <w:t xml:space="preserve">10.3 Vendor shall promptly notify Customer of any regulatory finding, enforcement action, or material limitation issued against the AI System.</w:t>
      </w:r>
    </w:p>
    <w:p/>
    <w:p/>
    <w:p/>
    <w:p>
      <w:pPr>
        <w:pStyle w:val="Heading2"/>
      </w:pPr>
      <w:r>
        <w:t xml:space="preserve">Clause 11 — Indemnification</w:t>
      </w:r>
    </w:p>
    <w:p/>
    <w:p>
      <w:pPr>
        <w:ind w:left="360"/>
      </w:pPr>
      <w:r>
        <w:t xml:space="preserve">11.1 Vendor shall defend, indemnify, and hold harmless Customer from third-party claims that the AI System or its Outputs: (a) infringe IP rights; (b) violate applicable AI law; (c) result from the use of Customer Data in Training in breach of Clause 2; or (d) constitute a misrepresentation of fact caused by a Vendor-introduced hallucination.</w:t>
      </w:r>
    </w:p>
    <w:p>
      <w:r>
        <w:t xml:space="preserve">&gt;</w:t>
      </w:r>
    </w:p>
    <w:p>
      <w:pPr>
        <w:ind w:left="360"/>
      </w:pPr>
      <w:r>
        <w:t xml:space="preserve">11.2 This indemnity is </w:t>
      </w:r>
      <w:r>
        <w:rPr>
          <w:b/>
        </w:rPr>
        <w:t xml:space="preserve">not</w:t>
      </w:r>
      <w:r>
        <w:t xml:space="preserve"> subject to the limitation of liability in the main agreement.</w:t>
      </w:r>
    </w:p>
    <w:p/>
    <w:p/>
    <w:p/>
    <w:p>
      <w:pPr>
        <w:pStyle w:val="Heading2"/>
      </w:pPr>
      <w:r>
        <w:t xml:space="preserve">Clause 12 — Audit Rights</w:t>
      </w:r>
    </w:p>
    <w:p/>
    <w:p>
      <w:pPr>
        <w:ind w:left="360"/>
      </w:pPr>
      <w:r>
        <w:t xml:space="preserve">12.1 No more than once per [12 months], or at any time following a Security Incident or material compliance finding, Customer or its designated auditor may audit Vendor's compliance with this agreement.</w:t>
      </w:r>
    </w:p>
    <w:p>
      <w:r>
        <w:t xml:space="preserve">&gt;</w:t>
      </w:r>
    </w:p>
    <w:p>
      <w:pPr>
        <w:ind w:left="360"/>
      </w:pPr>
      <w:r>
        <w:t xml:space="preserve">12.2 Audit includes reviewing controls documentation, sub-processor bindings, training-data handling evidence, and sample prompt-log access records.</w:t>
      </w:r>
    </w:p>
    <w:p>
      <w:r>
        <w:t xml:space="preserve">&gt;</w:t>
      </w:r>
    </w:p>
    <w:p>
      <w:pPr>
        <w:ind w:left="360"/>
      </w:pPr>
      <w:r>
        <w:t xml:space="preserve">12.3 Audit costs are borne by Customer unless the audit reveals a material breach.</w:t>
      </w:r>
    </w:p>
    <w:p/>
    <w:p/>
    <w:p/>
    <w:p>
      <w:pPr>
        <w:pStyle w:val="Heading2"/>
      </w:pPr>
      <w:r>
        <w:t xml:space="preserve">Clause 13 — Service Levels for AI Outputs</w:t>
      </w:r>
    </w:p>
    <w:p/>
    <w:p>
      <w:pPr>
        <w:ind w:left="360"/>
      </w:pPr>
      <w:r>
        <w:t xml:space="preserve">13.1 Vendor shall maintain [99.9%] availability for the API / Service as defined in the SLA.</w:t>
      </w:r>
    </w:p>
    <w:p>
      <w:r>
        <w:t xml:space="preserve">&gt;</w:t>
      </w:r>
    </w:p>
    <w:p>
      <w:pPr>
        <w:ind w:left="360"/>
      </w:pPr>
      <w:r>
        <w:t xml:space="preserve">13.2 Vendor shall maintain documented accuracy / refusal / safety metrics for the model as delivered and disclose changes under Clause 5.</w:t>
      </w:r>
    </w:p>
    <w:p>
      <w:r>
        <w:t xml:space="preserve">&gt;</w:t>
      </w:r>
    </w:p>
    <w:p>
      <w:pPr>
        <w:ind w:left="360"/>
      </w:pPr>
      <w:r>
        <w:t xml:space="preserve">13.3 SLA credits of [10 / 25 / 50]% of monthly fees apply for availability shortfalls per tier.</w:t>
      </w:r>
    </w:p>
    <w:p/>
    <w:p/>
    <w:p/>
    <w:p>
      <w:pPr>
        <w:pStyle w:val="Heading2"/>
      </w:pPr>
      <w:r>
        <w:t xml:space="preserve">Clause 14 — Termination for AI-Specific Cause</w:t>
      </w:r>
    </w:p>
    <w:p/>
    <w:p>
      <w:r>
        <w:t xml:space="preserve">In addition to general termination rights, Customer may terminate for cause, without penalty and with full refund of unearned prepaid fees, if:</w:t>
      </w:r>
    </w:p>
    <w:p/>
    <w:p>
      <w:pPr>
        <w:ind w:left="360"/>
      </w:pPr>
      <w:r>
        <w:t xml:space="preserve">•  Vendor breaches Clause 2 (Training Data Use);</w:t>
      </w:r>
    </w:p>
    <w:p>
      <w:pPr>
        <w:ind w:left="360"/>
      </w:pPr>
      <w:r>
        <w:t xml:space="preserve">•  Vendor materially changes the model in breach of Clause 5 and cannot remediate within [30] days;</w:t>
      </w:r>
    </w:p>
    <w:p>
      <w:pPr>
        <w:ind w:left="360"/>
      </w:pPr>
      <w:r>
        <w:t xml:space="preserve">•  Vendor suffers a Security Incident that Customer reasonably determines to be material;</w:t>
      </w:r>
    </w:p>
    <w:p>
      <w:pPr>
        <w:ind w:left="360"/>
      </w:pPr>
      <w:r>
        <w:t xml:space="preserve">•  Vendor loses a required certification (SOC 2, ISO 27001, ISO 42001) for more than [60] consecutive days.</w:t>
      </w:r>
    </w:p>
    <w:p/>
    <w:p/>
    <w:p/>
    <w:p>
      <w:pPr>
        <w:pStyle w:val="Heading2"/>
      </w:pPr>
      <w:r>
        <w:t xml:space="preserve">Clause 15 — Post-Termination Obligations</w:t>
      </w:r>
    </w:p>
    <w:p/>
    <w:p>
      <w:pPr>
        <w:ind w:left="360"/>
      </w:pPr>
      <w:r>
        <w:t xml:space="preserve">15.1 Vendor shall return or delete Customer Data per Clause 3.4.</w:t>
      </w:r>
    </w:p>
    <w:p>
      <w:r>
        <w:t xml:space="preserve">&gt;</w:t>
      </w:r>
    </w:p>
    <w:p>
      <w:pPr>
        <w:ind w:left="360"/>
      </w:pPr>
      <w:r>
        <w:t xml:space="preserve">15.2 Vendor shall delete any derivative artifacts — fine-tunes, embeddings, caches, evaluation datasets — that contain or are derived from Customer Data.</w:t>
      </w:r>
    </w:p>
    <w:p>
      <w:r>
        <w:t xml:space="preserve">&gt;</w:t>
      </w:r>
    </w:p>
    <w:p>
      <w:pPr>
        <w:ind w:left="360"/>
      </w:pPr>
      <w:r>
        <w:t xml:space="preserve">15.3 Vendor shall provide a written certification of deletion within [30] days of termination.</w:t>
      </w:r>
    </w:p>
    <w:p/>
    <w:p/>
    <w:p/>
    <w:p>
      <w:pPr>
        <w:pStyle w:val="Heading2"/>
      </w:pPr>
      <w:r>
        <w:t xml:space="preserve">Appendix A — Schedule of Approved Sub-processors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000"/>
        <w:gridCol w:w="1000"/>
        <w:gridCol w:w="1000"/>
        <w:gridCol w:w="1000"/>
        <w:gridCol w:w="1000"/>
      </w:tblGrid>
      <w:tr>
        <w:tc>
          <w:tcPr>
            <w:tcW w:w="1000" w:type="pct"/>
            <w:shd w:val="clear" w:color="auto" w:fill="EEEEEE"/>
          </w:tcPr>
          <w:p>
            <w:r>
              <w:t xml:space="preserve">Sub-processor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Role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Region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SOC 2 / ISO / AI Cert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Notes</w:t>
            </w:r>
          </w:p>
        </w:tc>
      </w:tr>
      <w:tr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</w:tr>
      <w:tr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</w:tr>
    </w:tbl>
    <w:p/>
    <w:p>
      <w:pPr>
        <w:pStyle w:val="Heading2"/>
      </w:pPr>
      <w:r>
        <w:t xml:space="preserve">Appendix B — Approved Model Versions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000"/>
        <w:gridCol w:w="1000"/>
        <w:gridCol w:w="1000"/>
        <w:gridCol w:w="1000"/>
        <w:gridCol w:w="1000"/>
      </w:tblGrid>
      <w:tr>
        <w:tc>
          <w:tcPr>
            <w:tcW w:w="1000" w:type="pct"/>
            <w:shd w:val="clear" w:color="auto" w:fill="EEEEEE"/>
          </w:tcPr>
          <w:p>
            <w:r>
              <w:t xml:space="preserve">Model Name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Provider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Version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Pinned Until</w:t>
            </w:r>
          </w:p>
        </w:tc>
        <w:tc>
          <w:tcPr>
            <w:tcW w:w="1000" w:type="pct"/>
            <w:shd w:val="clear" w:color="auto" w:fill="EEEEEE"/>
          </w:tcPr>
          <w:p>
            <w:r>
              <w:t xml:space="preserve">Notes</w:t>
            </w:r>
          </w:p>
        </w:tc>
      </w:tr>
      <w:tr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  <w:tc>
          <w:tcPr>
            <w:tcW w:w="1000" w:type="pct"/>
          </w:tcPr>
          <w:p/>
        </w:tc>
      </w:tr>
    </w:tbl>
    <w:p/>
    <w:p/>
    <w:p/>
    <w:p>
      <w:r>
        <w:rPr>
          <w:i/>
        </w:rPr>
        <w:t xml:space="preserve">These clauses are provided free by Aona AI. Pair with the AI Vendor Security Questionnaire, the AI Vendor Evaluation Scorecard, and the AI/ML Data Processing Agreement at `/resources/templates`.</w:t>
      </w:r>
    </w:p>
    <w:p/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styleId="Heading1">
    <w:name w:val="heading 1"/>
    <w:pPr>
      <w:spacing w:before="360" w:after="120"/>
      <w:outlineLvl w:val="0"/>
    </w:pPr>
    <w:rPr>
      <w:b/>
      <w:sz w:val="40"/>
      <w:color w:val="11021D"/>
    </w:rPr>
  </w:style>
  <w:style w:type="paragraph" w:styleId="Heading2">
    <w:name w:val="heading 2"/>
    <w:pPr>
      <w:spacing w:before="280" w:after="100"/>
      <w:outlineLvl w:val="1"/>
    </w:pPr>
    <w:rPr>
      <w:b/>
      <w:sz w:val="32"/>
      <w:color w:val="6412A6"/>
    </w:rPr>
  </w:style>
  <w:style w:type="paragraph" w:styleId="Heading3">
    <w:name w:val="heading 3"/>
    <w:pPr>
      <w:spacing w:before="220" w:after="80"/>
      <w:outlineLvl w:val="2"/>
    </w:pPr>
    <w:rPr>
      <w:b/>
      <w:sz w:val="26"/>
      <w:color w:val="333333"/>
    </w:rPr>
  </w:style>
  <w:style w:type="paragraph" w:styleId="Heading4">
    <w:name w:val="heading 4"/>
    <w:pPr>
      <w:spacing w:before="180" w:after="60"/>
      <w:outlineLvl w:val="3"/>
    </w:pPr>
    <w:rPr>
      <w:b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>
  <Application>Aona AI Template Generator</Application>
  <Company>Aona AI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ai-vendor-contract-clauses</dc:title>
  <dc:creator>Aona AI</dc:creator>
  <cp:lastModifiedBy>Aona AI</cp:lastModifiedBy>
  <dcterms:created xsi:type="dcterms:W3CDTF">2026-04-16T00:00:00Z</dcterms:created>
  <dcterms:modified xsi:type="dcterms:W3CDTF">2026-04-16T00:00:00Z</dcterms:modified>
</cp:coreProperties>
</file>