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AI Bias Testing and Fairness Guide</w:t>
      </w:r>
    </w:p>
    <w:p/>
    <w:p>
      <w:r>
        <w:rPr>
          <w:b/>
        </w:rPr>
        <w:t xml:space="preserve">Organization:</w:t>
      </w:r>
      <w:r>
        <w:t xml:space="preserve"> [ORGANIZATION NAME]</w:t>
      </w:r>
    </w:p>
    <w:p>
      <w:r>
        <w:rPr>
          <w:b/>
        </w:rPr>
        <w:t xml:space="preserve">Prepared by:</w:t>
      </w:r>
      <w:r>
        <w:t xml:space="preserve"> [NAME / ROLE]</w:t>
      </w:r>
    </w:p>
    <w:p>
      <w:r>
        <w:rPr>
          <w:b/>
        </w:rPr>
        <w:t xml:space="preserve">Date:</w:t>
      </w:r>
      <w:r>
        <w:t xml:space="preserve"> [DATE]</w:t>
      </w:r>
    </w:p>
    <w:p>
      <w:r>
        <w:rPr>
          <w:b/>
        </w:rPr>
        <w:t xml:space="preserve">Version:</w:t>
      </w:r>
      <w:r>
        <w:t xml:space="preserve"> 1.0</w:t>
      </w:r>
    </w:p>
    <w:p/>
    <w:p/>
    <w:p/>
    <w:p>
      <w:pPr>
        <w:pStyle w:val="Heading2"/>
      </w:pPr>
      <w:r>
        <w:t xml:space="preserve">Purpose</w:t>
      </w:r>
    </w:p>
    <w:p/>
    <w:p>
      <w:r>
        <w:t xml:space="preserve">A practical guide for testing AI and machine learning systems for bias and fairness before deployment and on a continuous basis in production. Aligned to NIST AI RMF "Measure" function, ISO 42001 Annex A.8, and the EU AI Act fairness requirements for high-risk systems.</w:t>
      </w:r>
    </w:p>
    <w:p/>
    <w:p>
      <w:r>
        <w:t xml:space="preserve">Use this guide to define fairness objectives, select metrics, run tests, remediate gaps, and document evidence for auditors.</w:t>
      </w:r>
    </w:p>
    <w:p/>
    <w:p/>
    <w:p/>
    <w:p>
      <w:pPr>
        <w:pStyle w:val="Heading2"/>
      </w:pPr>
      <w:r>
        <w:t xml:space="preserve">Section 1 — Scope and Governance</w:t>
      </w:r>
    </w:p>
    <w:p/>
    <w:tbl>
      <w:tblPr>
        <w:tblW w:w="5000" w:type="pct"/>
        <w:tblBorders>
          <w:top w:val="single" w:sz="4" w:color="auto"/>
          <w:bottom w:val="single" w:sz="4" w:color="auto"/>
          <w:left w:val="single" w:sz="4" w:color="auto"/>
          <w:right w:val="single" w:sz="4" w:color="auto"/>
          <w:insideH w:val="single" w:sz="4" w:color="auto"/>
          <w:insideV w:val="single" w:sz="4" w:color="auto"/>
        </w:tblBorders>
      </w:tblPr>
      <w:tblGrid>
        <w:gridCol w:w="1666"/>
        <w:gridCol w:w="1666"/>
        <w:gridCol w:w="1666"/>
      </w:tblGrid>
      <w:tr>
        <w:tc>
          <w:tcPr>
            <w:tcW w:w="1666" w:type="pct"/>
            <w:shd w:val="clear" w:color="auto" w:fill="EEEEEE"/>
          </w:tcPr>
          <w:p>
            <w:r>
              <w:t xml:space="preserve">#</w:t>
            </w:r>
          </w:p>
        </w:tc>
        <w:tc>
          <w:tcPr>
            <w:tcW w:w="1666" w:type="pct"/>
            <w:shd w:val="clear" w:color="auto" w:fill="EEEEEE"/>
          </w:tcPr>
          <w:p>
            <w:r>
              <w:t xml:space="preserve">Item</w:t>
            </w:r>
          </w:p>
        </w:tc>
        <w:tc>
          <w:tcPr>
            <w:tcW w:w="1666" w:type="pct"/>
            <w:shd w:val="clear" w:color="auto" w:fill="EEEEEE"/>
          </w:tcPr>
          <w:p>
            <w:r>
              <w:t xml:space="preserve">Description</w:t>
            </w:r>
          </w:p>
        </w:tc>
      </w:tr>
      <w:tr>
        <w:tc>
          <w:tcPr>
            <w:tcW w:w="1666" w:type="pct"/>
          </w:tcPr>
          <w:p>
            <w:r>
              <w:t xml:space="preserve">1.1</w:t>
            </w:r>
          </w:p>
        </w:tc>
        <w:tc>
          <w:tcPr>
            <w:tcW w:w="1666" w:type="pct"/>
          </w:tcPr>
          <w:p>
            <w:r>
              <w:t xml:space="preserve">System in scope</w:t>
            </w:r>
          </w:p>
        </w:tc>
        <w:tc>
          <w:tcPr>
            <w:tcW w:w="1666" w:type="pct"/>
          </w:tcPr>
          <w:p>
            <w:r>
              <w:t xml:space="preserve">Name, version, owner, business use case</w:t>
            </w:r>
          </w:p>
        </w:tc>
      </w:tr>
      <w:tr>
        <w:tc>
          <w:tcPr>
            <w:tcW w:w="1666" w:type="pct"/>
          </w:tcPr>
          <w:p>
            <w:r>
              <w:t xml:space="preserve">1.2</w:t>
            </w:r>
          </w:p>
        </w:tc>
        <w:tc>
          <w:tcPr>
            <w:tcW w:w="1666" w:type="pct"/>
          </w:tcPr>
          <w:p>
            <w:r>
              <w:t xml:space="preserve">Protected attributes</w:t>
            </w:r>
          </w:p>
        </w:tc>
        <w:tc>
          <w:tcPr>
            <w:tcW w:w="1666" w:type="pct"/>
          </w:tcPr>
          <w:p>
            <w:r>
              <w:t xml:space="preserve">Race, gender, age, disability, religion, nationality, marital status</w:t>
            </w:r>
          </w:p>
        </w:tc>
      </w:tr>
      <w:tr>
        <w:tc>
          <w:tcPr>
            <w:tcW w:w="1666" w:type="pct"/>
          </w:tcPr>
          <w:p>
            <w:r>
              <w:t xml:space="preserve">1.3</w:t>
            </w:r>
          </w:p>
        </w:tc>
        <w:tc>
          <w:tcPr>
            <w:tcW w:w="1666" w:type="pct"/>
          </w:tcPr>
          <w:p>
            <w:r>
              <w:t xml:space="preserve">Protected attribute proxies</w:t>
            </w:r>
          </w:p>
        </w:tc>
        <w:tc>
          <w:tcPr>
            <w:tcW w:w="1666" w:type="pct"/>
          </w:tcPr>
          <w:p>
            <w:r>
              <w:t xml:space="preserve">ZIP code, school, language, device type — document known correlations</w:t>
            </w:r>
          </w:p>
        </w:tc>
      </w:tr>
      <w:tr>
        <w:tc>
          <w:tcPr>
            <w:tcW w:w="1666" w:type="pct"/>
          </w:tcPr>
          <w:p>
            <w:r>
              <w:t xml:space="preserve">1.4</w:t>
            </w:r>
          </w:p>
        </w:tc>
        <w:tc>
          <w:tcPr>
            <w:tcW w:w="1666" w:type="pct"/>
          </w:tcPr>
          <w:p>
            <w:r>
              <w:t xml:space="preserve">Fairness objective</w:t>
            </w:r>
          </w:p>
        </w:tc>
        <w:tc>
          <w:tcPr>
            <w:tcW w:w="1666" w:type="pct"/>
          </w:tcPr>
          <w:p>
            <w:r>
              <w:t xml:space="preserve">Demographic parity / Equal opportunity / Equalized odds / Individual fairness</w:t>
            </w:r>
          </w:p>
        </w:tc>
      </w:tr>
      <w:tr>
        <w:tc>
          <w:tcPr>
            <w:tcW w:w="1666" w:type="pct"/>
          </w:tcPr>
          <w:p>
            <w:r>
              <w:t xml:space="preserve">1.5</w:t>
            </w:r>
          </w:p>
        </w:tc>
        <w:tc>
          <w:tcPr>
            <w:tcW w:w="1666" w:type="pct"/>
          </w:tcPr>
          <w:p>
            <w:r>
              <w:t xml:space="preserve">Decision type</w:t>
            </w:r>
          </w:p>
        </w:tc>
        <w:tc>
          <w:tcPr>
            <w:tcW w:w="1666" w:type="pct"/>
          </w:tcPr>
          <w:p>
            <w:r>
              <w:t xml:space="preserve">Classification, regression, ranking, recommendation, generative</w:t>
            </w:r>
          </w:p>
        </w:tc>
      </w:tr>
      <w:tr>
        <w:tc>
          <w:tcPr>
            <w:tcW w:w="1666" w:type="pct"/>
          </w:tcPr>
          <w:p>
            <w:r>
              <w:t xml:space="preserve">1.6</w:t>
            </w:r>
          </w:p>
        </w:tc>
        <w:tc>
          <w:tcPr>
            <w:tcW w:w="1666" w:type="pct"/>
          </w:tcPr>
          <w:p>
            <w:r>
              <w:t xml:space="preserve">Impact tier</w:t>
            </w:r>
          </w:p>
        </w:tc>
        <w:tc>
          <w:tcPr>
            <w:tcW w:w="1666" w:type="pct"/>
          </w:tcPr>
          <w:p>
            <w:r>
              <w:t xml:space="preserve">Informational / Recommends / Automated decision</w:t>
            </w:r>
          </w:p>
        </w:tc>
      </w:tr>
      <w:tr>
        <w:tc>
          <w:tcPr>
            <w:tcW w:w="1666" w:type="pct"/>
          </w:tcPr>
          <w:p>
            <w:r>
              <w:t xml:space="preserve">1.7</w:t>
            </w:r>
          </w:p>
        </w:tc>
        <w:tc>
          <w:tcPr>
            <w:tcW w:w="1666" w:type="pct"/>
          </w:tcPr>
          <w:p>
            <w:r>
              <w:t xml:space="preserve">Regulatory scope</w:t>
            </w:r>
          </w:p>
        </w:tc>
        <w:tc>
          <w:tcPr>
            <w:tcW w:w="1666" w:type="pct"/>
          </w:tcPr>
          <w:p>
            <w:r>
              <w:t xml:space="preserve">EU AI Act high-risk, EEOC, ECOA, CFPB, GDPR Art. 22, state AI laws</w:t>
            </w:r>
          </w:p>
        </w:tc>
      </w:tr>
      <w:tr>
        <w:tc>
          <w:tcPr>
            <w:tcW w:w="1666" w:type="pct"/>
          </w:tcPr>
          <w:p>
            <w:r>
              <w:t xml:space="preserve">1.8</w:t>
            </w:r>
          </w:p>
        </w:tc>
        <w:tc>
          <w:tcPr>
            <w:tcW w:w="1666" w:type="pct"/>
          </w:tcPr>
          <w:p>
            <w:r>
              <w:t xml:space="preserve">Review cadence</w:t>
            </w:r>
          </w:p>
        </w:tc>
        <w:tc>
          <w:tcPr>
            <w:tcW w:w="1666" w:type="pct"/>
          </w:tcPr>
          <w:p>
            <w:r>
              <w:t xml:space="preserve">Pre-deployment and every [N] days in production</w:t>
            </w:r>
          </w:p>
        </w:tc>
      </w:tr>
    </w:tbl>
    <w:p/>
    <w:p/>
    <w:p/>
    <w:p>
      <w:pPr>
        <w:pStyle w:val="Heading2"/>
      </w:pPr>
      <w:r>
        <w:t xml:space="preserve">Section 2 — Data Audit</w:t>
      </w:r>
    </w:p>
    <w:p/>
    <w:p>
      <w:r>
        <w:t xml:space="preserve">Test the training and evaluation data before testing the model.</w:t>
      </w:r>
    </w:p>
    <w:p/>
    <w:tbl>
      <w:tblPr>
        <w:tblW w:w="5000" w:type="pct"/>
        <w:tblBorders>
          <w:top w:val="single" w:sz="4" w:color="auto"/>
          <w:bottom w:val="single" w:sz="4" w:color="auto"/>
          <w:left w:val="single" w:sz="4" w:color="auto"/>
          <w:right w:val="single" w:sz="4" w:color="auto"/>
          <w:insideH w:val="single" w:sz="4" w:color="auto"/>
          <w:insideV w:val="single" w:sz="4" w:color="auto"/>
        </w:tblBorders>
      </w:tblPr>
      <w:tblGrid>
        <w:gridCol w:w="1250"/>
        <w:gridCol w:w="1250"/>
        <w:gridCol w:w="1250"/>
        <w:gridCol w:w="1250"/>
      </w:tblGrid>
      <w:tr>
        <w:tc>
          <w:tcPr>
            <w:tcW w:w="1250" w:type="pct"/>
            <w:shd w:val="clear" w:color="auto" w:fill="EEEEEE"/>
          </w:tcPr>
          <w:p>
            <w:r>
              <w:t xml:space="preserve">#</w:t>
            </w:r>
          </w:p>
        </w:tc>
        <w:tc>
          <w:tcPr>
            <w:tcW w:w="1250" w:type="pct"/>
            <w:shd w:val="clear" w:color="auto" w:fill="EEEEEE"/>
          </w:tcPr>
          <w:p>
            <w:r>
              <w:t xml:space="preserve">Check</w:t>
            </w:r>
          </w:p>
        </w:tc>
        <w:tc>
          <w:tcPr>
            <w:tcW w:w="1250" w:type="pct"/>
            <w:shd w:val="clear" w:color="auto" w:fill="EEEEEE"/>
          </w:tcPr>
          <w:p>
            <w:r>
              <w:t xml:space="preserve">Pass / Fail</w:t>
            </w:r>
          </w:p>
        </w:tc>
        <w:tc>
          <w:tcPr>
            <w:tcW w:w="1250" w:type="pct"/>
            <w:shd w:val="clear" w:color="auto" w:fill="EEEEEE"/>
          </w:tcPr>
          <w:p>
            <w:r>
              <w:t xml:space="preserve">Notes</w:t>
            </w:r>
          </w:p>
        </w:tc>
      </w:tr>
      <w:tr>
        <w:tc>
          <w:tcPr>
            <w:tcW w:w="1250" w:type="pct"/>
          </w:tcPr>
          <w:p>
            <w:r>
              <w:t xml:space="preserve">2.1</w:t>
            </w:r>
          </w:p>
        </w:tc>
        <w:tc>
          <w:tcPr>
            <w:tcW w:w="1250" w:type="pct"/>
          </w:tcPr>
          <w:p>
            <w:r>
              <w:t xml:space="preserve">Representation analysis: counts per protected group</w:t>
            </w:r>
          </w:p>
        </w:tc>
        <w:tc>
          <w:tcPr>
            <w:tcW w:w="1250" w:type="pct"/>
          </w:tcPr>
          <w:p/>
        </w:tc>
        <w:tc>
          <w:tcPr>
            <w:tcW w:w="1250" w:type="pct"/>
          </w:tcPr>
          <w:p/>
        </w:tc>
      </w:tr>
      <w:tr>
        <w:tc>
          <w:tcPr>
            <w:tcW w:w="1250" w:type="pct"/>
          </w:tcPr>
          <w:p>
            <w:r>
              <w:t xml:space="preserve">2.2</w:t>
            </w:r>
          </w:p>
        </w:tc>
        <w:tc>
          <w:tcPr>
            <w:tcW w:w="1250" w:type="pct"/>
          </w:tcPr>
          <w:p>
            <w:r>
              <w:t xml:space="preserve">Label distribution per protected group</w:t>
            </w:r>
          </w:p>
        </w:tc>
        <w:tc>
          <w:tcPr>
            <w:tcW w:w="1250" w:type="pct"/>
          </w:tcPr>
          <w:p/>
        </w:tc>
        <w:tc>
          <w:tcPr>
            <w:tcW w:w="1250" w:type="pct"/>
          </w:tcPr>
          <w:p/>
        </w:tc>
      </w:tr>
      <w:tr>
        <w:tc>
          <w:tcPr>
            <w:tcW w:w="1250" w:type="pct"/>
          </w:tcPr>
          <w:p>
            <w:r>
              <w:t xml:space="preserve">2.3</w:t>
            </w:r>
          </w:p>
        </w:tc>
        <w:tc>
          <w:tcPr>
            <w:tcW w:w="1250" w:type="pct"/>
          </w:tcPr>
          <w:p>
            <w:r>
              <w:t xml:space="preserve">Missing / imputed rates per protected group</w:t>
            </w:r>
          </w:p>
        </w:tc>
        <w:tc>
          <w:tcPr>
            <w:tcW w:w="1250" w:type="pct"/>
          </w:tcPr>
          <w:p/>
        </w:tc>
        <w:tc>
          <w:tcPr>
            <w:tcW w:w="1250" w:type="pct"/>
          </w:tcPr>
          <w:p/>
        </w:tc>
      </w:tr>
      <w:tr>
        <w:tc>
          <w:tcPr>
            <w:tcW w:w="1250" w:type="pct"/>
          </w:tcPr>
          <w:p>
            <w:r>
              <w:t xml:space="preserve">2.4</w:t>
            </w:r>
          </w:p>
        </w:tc>
        <w:tc>
          <w:tcPr>
            <w:tcW w:w="1250" w:type="pct"/>
          </w:tcPr>
          <w:p>
            <w:r>
              <w:t xml:space="preserve">Feature availability per protected group (e.g. credit history length)</w:t>
            </w:r>
          </w:p>
        </w:tc>
        <w:tc>
          <w:tcPr>
            <w:tcW w:w="1250" w:type="pct"/>
          </w:tcPr>
          <w:p/>
        </w:tc>
        <w:tc>
          <w:tcPr>
            <w:tcW w:w="1250" w:type="pct"/>
          </w:tcPr>
          <w:p/>
        </w:tc>
      </w:tr>
      <w:tr>
        <w:tc>
          <w:tcPr>
            <w:tcW w:w="1250" w:type="pct"/>
          </w:tcPr>
          <w:p>
            <w:r>
              <w:t xml:space="preserve">2.5</w:t>
            </w:r>
          </w:p>
        </w:tc>
        <w:tc>
          <w:tcPr>
            <w:tcW w:w="1250" w:type="pct"/>
          </w:tcPr>
          <w:p>
            <w:r>
              <w:t xml:space="preserve">Historical label bias review (are ground truth labels themselves biased?)</w:t>
            </w:r>
          </w:p>
        </w:tc>
        <w:tc>
          <w:tcPr>
            <w:tcW w:w="1250" w:type="pct"/>
          </w:tcPr>
          <w:p/>
        </w:tc>
        <w:tc>
          <w:tcPr>
            <w:tcW w:w="1250" w:type="pct"/>
          </w:tcPr>
          <w:p/>
        </w:tc>
      </w:tr>
      <w:tr>
        <w:tc>
          <w:tcPr>
            <w:tcW w:w="1250" w:type="pct"/>
          </w:tcPr>
          <w:p>
            <w:r>
              <w:t xml:space="preserve">2.6</w:t>
            </w:r>
          </w:p>
        </w:tc>
        <w:tc>
          <w:tcPr>
            <w:tcW w:w="1250" w:type="pct"/>
          </w:tcPr>
          <w:p>
            <w:r>
              <w:t xml:space="preserve">Sampling bias review (how was data collected?)</w:t>
            </w:r>
          </w:p>
        </w:tc>
        <w:tc>
          <w:tcPr>
            <w:tcW w:w="1250" w:type="pct"/>
          </w:tcPr>
          <w:p/>
        </w:tc>
        <w:tc>
          <w:tcPr>
            <w:tcW w:w="1250" w:type="pct"/>
          </w:tcPr>
          <w:p/>
        </w:tc>
      </w:tr>
      <w:tr>
        <w:tc>
          <w:tcPr>
            <w:tcW w:w="1250" w:type="pct"/>
          </w:tcPr>
          <w:p>
            <w:r>
              <w:t xml:space="preserve">2.7</w:t>
            </w:r>
          </w:p>
        </w:tc>
        <w:tc>
          <w:tcPr>
            <w:tcW w:w="1250" w:type="pct"/>
          </w:tcPr>
          <w:p>
            <w:r>
              <w:t xml:space="preserve">Temporal bias review (is older data systematically different?)</w:t>
            </w:r>
          </w:p>
        </w:tc>
        <w:tc>
          <w:tcPr>
            <w:tcW w:w="1250" w:type="pct"/>
          </w:tcPr>
          <w:p/>
        </w:tc>
        <w:tc>
          <w:tcPr>
            <w:tcW w:w="1250" w:type="pct"/>
          </w:tcPr>
          <w:p/>
        </w:tc>
      </w:tr>
      <w:tr>
        <w:tc>
          <w:tcPr>
            <w:tcW w:w="1250" w:type="pct"/>
          </w:tcPr>
          <w:p>
            <w:r>
              <w:t xml:space="preserve">2.8</w:t>
            </w:r>
          </w:p>
        </w:tc>
        <w:tc>
          <w:tcPr>
            <w:tcW w:w="1250" w:type="pct"/>
          </w:tcPr>
          <w:p>
            <w:r>
              <w:t xml:space="preserve">Proxy variable correlation test (ρ with protected attribute)</w:t>
            </w:r>
          </w:p>
        </w:tc>
        <w:tc>
          <w:tcPr>
            <w:tcW w:w="1250" w:type="pct"/>
          </w:tcPr>
          <w:p/>
        </w:tc>
        <w:tc>
          <w:tcPr>
            <w:tcW w:w="1250" w:type="pct"/>
          </w:tcPr>
          <w:p/>
        </w:tc>
      </w:tr>
      <w:tr>
        <w:tc>
          <w:tcPr>
            <w:tcW w:w="1250" w:type="pct"/>
          </w:tcPr>
          <w:p>
            <w:r>
              <w:t xml:space="preserve">2.9</w:t>
            </w:r>
          </w:p>
        </w:tc>
        <w:tc>
          <w:tcPr>
            <w:tcW w:w="1250" w:type="pct"/>
          </w:tcPr>
          <w:p>
            <w:r>
              <w:t xml:space="preserve">Data provenance and consent basis documented</w:t>
            </w:r>
          </w:p>
        </w:tc>
        <w:tc>
          <w:tcPr>
            <w:tcW w:w="1250" w:type="pct"/>
          </w:tcPr>
          <w:p/>
        </w:tc>
        <w:tc>
          <w:tcPr>
            <w:tcW w:w="1250" w:type="pct"/>
          </w:tcPr>
          <w:p/>
        </w:tc>
      </w:tr>
      <w:tr>
        <w:tc>
          <w:tcPr>
            <w:tcW w:w="1250" w:type="pct"/>
          </w:tcPr>
          <w:p>
            <w:r>
              <w:t xml:space="preserve">2.10</w:t>
            </w:r>
          </w:p>
        </w:tc>
        <w:tc>
          <w:tcPr>
            <w:tcW w:w="1250" w:type="pct"/>
          </w:tcPr>
          <w:p>
            <w:r>
              <w:t xml:space="preserve">Data augmentation / rebalancing decisions logged</w:t>
            </w:r>
          </w:p>
        </w:tc>
        <w:tc>
          <w:tcPr>
            <w:tcW w:w="1250" w:type="pct"/>
          </w:tcPr>
          <w:p/>
        </w:tc>
        <w:tc>
          <w:tcPr>
            <w:tcW w:w="1250" w:type="pct"/>
          </w:tcPr>
          <w:p/>
        </w:tc>
      </w:tr>
    </w:tbl>
    <w:p/>
    <w:p/>
    <w:p/>
    <w:p>
      <w:pPr>
        <w:pStyle w:val="Heading2"/>
      </w:pPr>
      <w:r>
        <w:t xml:space="preserve">Section 3 — Fairness Metrics</w:t>
      </w:r>
    </w:p>
    <w:p/>
    <w:p>
      <w:r>
        <w:t xml:space="preserve">Select the metrics that match your fairness objective. Not every metric applies to every system — document why each is in or out of scope.</w:t>
      </w:r>
    </w:p>
    <w:p/>
    <w:p>
      <w:pPr>
        <w:pStyle w:val="Heading3"/>
      </w:pPr>
      <w:r>
        <w:t xml:space="preserve">Group Fairness Metrics</w:t>
      </w:r>
    </w:p>
    <w:p/>
    <w:tbl>
      <w:tblPr>
        <w:tblW w:w="5000" w:type="pct"/>
        <w:tblBorders>
          <w:top w:val="single" w:sz="4" w:color="auto"/>
          <w:bottom w:val="single" w:sz="4" w:color="auto"/>
          <w:left w:val="single" w:sz="4" w:color="auto"/>
          <w:right w:val="single" w:sz="4" w:color="auto"/>
          <w:insideH w:val="single" w:sz="4" w:color="auto"/>
          <w:insideV w:val="single" w:sz="4" w:color="auto"/>
        </w:tblBorders>
      </w:tblPr>
      <w:tblGrid>
        <w:gridCol w:w="1666"/>
        <w:gridCol w:w="1666"/>
        <w:gridCol w:w="1666"/>
      </w:tblGrid>
      <w:tr>
        <w:tc>
          <w:tcPr>
            <w:tcW w:w="1666" w:type="pct"/>
            <w:shd w:val="clear" w:color="auto" w:fill="EEEEEE"/>
          </w:tcPr>
          <w:p>
            <w:r>
              <w:t xml:space="preserve">Metric</w:t>
            </w:r>
          </w:p>
        </w:tc>
        <w:tc>
          <w:tcPr>
            <w:tcW w:w="1666" w:type="pct"/>
            <w:shd w:val="clear" w:color="auto" w:fill="EEEEEE"/>
          </w:tcPr>
          <w:p>
            <w:r>
              <w:t xml:space="preserve">When to Use</w:t>
            </w:r>
          </w:p>
        </w:tc>
        <w:tc>
          <w:tcPr>
            <w:tcW w:w="1666" w:type="pct"/>
            <w:shd w:val="clear" w:color="auto" w:fill="EEEEEE"/>
          </w:tcPr>
          <w:p>
            <w:r>
              <w:t xml:space="preserve">Formula (plain English)</w:t>
            </w:r>
          </w:p>
        </w:tc>
      </w:tr>
      <w:tr>
        <w:tc>
          <w:tcPr>
            <w:tcW w:w="1666" w:type="pct"/>
          </w:tcPr>
          <w:p>
            <w:r>
              <w:t xml:space="preserve">Demographic Parity (Statistical Parity)</w:t>
            </w:r>
          </w:p>
        </w:tc>
        <w:tc>
          <w:tcPr>
            <w:tcW w:w="1666" w:type="pct"/>
          </w:tcPr>
          <w:p>
            <w:r>
              <w:t xml:space="preserve">When positive rates should be equal across groups</w:t>
            </w:r>
          </w:p>
        </w:tc>
        <w:tc>
          <w:tcPr>
            <w:tcW w:w="1666" w:type="pct"/>
          </w:tcPr>
          <w:p>
            <w:r>
              <w:t xml:space="preserve">P(ŷ=1 \</w:t>
            </w:r>
          </w:p>
        </w:tc>
        <w:tc>
          <w:tcPr>
            <w:tcW w:w="1666" w:type="pct"/>
          </w:tcPr>
          <w:p>
            <w:r>
              <w:t xml:space="preserve">A=a) should be equal across groups</w:t>
            </w:r>
          </w:p>
        </w:tc>
      </w:tr>
      <w:tr>
        <w:tc>
          <w:tcPr>
            <w:tcW w:w="1666" w:type="pct"/>
          </w:tcPr>
          <w:p>
            <w:r>
              <w:t xml:space="preserve">Disparate Impact Ratio</w:t>
            </w:r>
          </w:p>
        </w:tc>
        <w:tc>
          <w:tcPr>
            <w:tcW w:w="1666" w:type="pct"/>
          </w:tcPr>
          <w:p>
            <w:r>
              <w:t xml:space="preserve">US EEOC 4/5ths rule, lending</w:t>
            </w:r>
          </w:p>
        </w:tc>
        <w:tc>
          <w:tcPr>
            <w:tcW w:w="1666" w:type="pct"/>
          </w:tcPr>
          <w:p>
            <w:r>
              <w:t xml:space="preserve">min(P(ŷ=1\</w:t>
            </w:r>
          </w:p>
        </w:tc>
        <w:tc>
          <w:tcPr>
            <w:tcW w:w="1666" w:type="pct"/>
          </w:tcPr>
          <w:p>
            <w:r>
              <w:t xml:space="preserve">A)) / max(P(ŷ=1\</w:t>
            </w:r>
          </w:p>
        </w:tc>
        <w:tc>
          <w:tcPr>
            <w:tcW w:w="1666" w:type="pct"/>
          </w:tcPr>
          <w:p>
            <w:r>
              <w:t xml:space="preserve">A)) ≥ 0.80</w:t>
            </w:r>
          </w:p>
        </w:tc>
      </w:tr>
      <w:tr>
        <w:tc>
          <w:tcPr>
            <w:tcW w:w="1666" w:type="pct"/>
          </w:tcPr>
          <w:p>
            <w:r>
              <w:t xml:space="preserve">Equal Opportunity</w:t>
            </w:r>
          </w:p>
        </w:tc>
        <w:tc>
          <w:tcPr>
            <w:tcW w:w="1666" w:type="pct"/>
          </w:tcPr>
          <w:p>
            <w:r>
              <w:t xml:space="preserve">When true positive rate must be equal</w:t>
            </w:r>
          </w:p>
        </w:tc>
        <w:tc>
          <w:tcPr>
            <w:tcW w:w="1666" w:type="pct"/>
          </w:tcPr>
          <w:p>
            <w:r>
              <w:t xml:space="preserve">TPR equal across groups</w:t>
            </w:r>
          </w:p>
        </w:tc>
      </w:tr>
      <w:tr>
        <w:tc>
          <w:tcPr>
            <w:tcW w:w="1666" w:type="pct"/>
          </w:tcPr>
          <w:p>
            <w:r>
              <w:t xml:space="preserve">Equalized Odds</w:t>
            </w:r>
          </w:p>
        </w:tc>
        <w:tc>
          <w:tcPr>
            <w:tcW w:w="1666" w:type="pct"/>
          </w:tcPr>
          <w:p>
            <w:r>
              <w:t xml:space="preserve">When both TPR and FPR must be equal</w:t>
            </w:r>
          </w:p>
        </w:tc>
        <w:tc>
          <w:tcPr>
            <w:tcW w:w="1666" w:type="pct"/>
          </w:tcPr>
          <w:p>
            <w:r>
              <w:t xml:space="preserve">TPR and FPR equal across groups</w:t>
            </w:r>
          </w:p>
        </w:tc>
      </w:tr>
      <w:tr>
        <w:tc>
          <w:tcPr>
            <w:tcW w:w="1666" w:type="pct"/>
          </w:tcPr>
          <w:p>
            <w:r>
              <w:t xml:space="preserve">Predictive Parity</w:t>
            </w:r>
          </w:p>
        </w:tc>
        <w:tc>
          <w:tcPr>
            <w:tcW w:w="1666" w:type="pct"/>
          </w:tcPr>
          <w:p>
            <w:r>
              <w:t xml:space="preserve">When precision should be equal</w:t>
            </w:r>
          </w:p>
        </w:tc>
        <w:tc>
          <w:tcPr>
            <w:tcW w:w="1666" w:type="pct"/>
          </w:tcPr>
          <w:p>
            <w:r>
              <w:t xml:space="preserve">PPV equal across groups</w:t>
            </w:r>
          </w:p>
        </w:tc>
      </w:tr>
      <w:tr>
        <w:tc>
          <w:tcPr>
            <w:tcW w:w="1666" w:type="pct"/>
          </w:tcPr>
          <w:p>
            <w:r>
              <w:t xml:space="preserve">Calibration</w:t>
            </w:r>
          </w:p>
        </w:tc>
        <w:tc>
          <w:tcPr>
            <w:tcW w:w="1666" w:type="pct"/>
          </w:tcPr>
          <w:p>
            <w:r>
              <w:t xml:space="preserve">When predicted probability should be meaningful per group</w:t>
            </w:r>
          </w:p>
        </w:tc>
        <w:tc>
          <w:tcPr>
            <w:tcW w:w="1666" w:type="pct"/>
          </w:tcPr>
          <w:p>
            <w:r>
              <w:t xml:space="preserve">P(y=1\</w:t>
            </w:r>
          </w:p>
        </w:tc>
        <w:tc>
          <w:tcPr>
            <w:tcW w:w="1666" w:type="pct"/>
          </w:tcPr>
          <w:p>
            <w:r>
              <w:t xml:space="preserve">ŷ=p, A=a) ≈ p</w:t>
            </w:r>
          </w:p>
        </w:tc>
      </w:tr>
    </w:tbl>
    <w:p/>
    <w:p>
      <w:pPr>
        <w:pStyle w:val="Heading3"/>
      </w:pPr>
      <w:r>
        <w:t xml:space="preserve">Individual Fairness Metrics</w:t>
      </w:r>
    </w:p>
    <w:p/>
    <w:tbl>
      <w:tblPr>
        <w:tblW w:w="5000" w:type="pct"/>
        <w:tblBorders>
          <w:top w:val="single" w:sz="4" w:color="auto"/>
          <w:bottom w:val="single" w:sz="4" w:color="auto"/>
          <w:left w:val="single" w:sz="4" w:color="auto"/>
          <w:right w:val="single" w:sz="4" w:color="auto"/>
          <w:insideH w:val="single" w:sz="4" w:color="auto"/>
          <w:insideV w:val="single" w:sz="4" w:color="auto"/>
        </w:tblBorders>
      </w:tblPr>
      <w:tblGrid>
        <w:gridCol w:w="2500"/>
        <w:gridCol w:w="2500"/>
      </w:tblGrid>
      <w:tr>
        <w:tc>
          <w:tcPr>
            <w:tcW w:w="2500" w:type="pct"/>
            <w:shd w:val="clear" w:color="auto" w:fill="EEEEEE"/>
          </w:tcPr>
          <w:p>
            <w:r>
              <w:t xml:space="preserve">Metric</w:t>
            </w:r>
          </w:p>
        </w:tc>
        <w:tc>
          <w:tcPr>
            <w:tcW w:w="2500" w:type="pct"/>
            <w:shd w:val="clear" w:color="auto" w:fill="EEEEEE"/>
          </w:tcPr>
          <w:p>
            <w:r>
              <w:t xml:space="preserve">When to Use</w:t>
            </w:r>
          </w:p>
        </w:tc>
      </w:tr>
      <w:tr>
        <w:tc>
          <w:tcPr>
            <w:tcW w:w="2500" w:type="pct"/>
          </w:tcPr>
          <w:p>
            <w:r>
              <w:t xml:space="preserve">Counterfactual fairness</w:t>
            </w:r>
          </w:p>
        </w:tc>
        <w:tc>
          <w:tcPr>
            <w:tcW w:w="2500" w:type="pct"/>
          </w:tcPr>
          <w:p>
            <w:r>
              <w:t xml:space="preserve">Would the decision change if the protected attribute changed, holding all else equal?</w:t>
            </w:r>
          </w:p>
        </w:tc>
      </w:tr>
      <w:tr>
        <w:tc>
          <w:tcPr>
            <w:tcW w:w="2500" w:type="pct"/>
          </w:tcPr>
          <w:p>
            <w:r>
              <w:t xml:space="preserve">Consistency score</w:t>
            </w:r>
          </w:p>
        </w:tc>
        <w:tc>
          <w:tcPr>
            <w:tcW w:w="2500" w:type="pct"/>
          </w:tcPr>
          <w:p>
            <w:r>
              <w:t xml:space="preserve">Similar individuals receive similar predictions</w:t>
            </w:r>
          </w:p>
        </w:tc>
      </w:tr>
    </w:tbl>
    <w:p/>
    <w:p>
      <w:pPr>
        <w:pStyle w:val="Heading3"/>
      </w:pPr>
      <w:r>
        <w:t xml:space="preserve">Generative / LLM Fairness</w:t>
      </w:r>
    </w:p>
    <w:p/>
    <w:tbl>
      <w:tblPr>
        <w:tblW w:w="5000" w:type="pct"/>
        <w:tblBorders>
          <w:top w:val="single" w:sz="4" w:color="auto"/>
          <w:bottom w:val="single" w:sz="4" w:color="auto"/>
          <w:left w:val="single" w:sz="4" w:color="auto"/>
          <w:right w:val="single" w:sz="4" w:color="auto"/>
          <w:insideH w:val="single" w:sz="4" w:color="auto"/>
          <w:insideV w:val="single" w:sz="4" w:color="auto"/>
        </w:tblBorders>
      </w:tblPr>
      <w:tblGrid>
        <w:gridCol w:w="2500"/>
        <w:gridCol w:w="2500"/>
      </w:tblGrid>
      <w:tr>
        <w:tc>
          <w:tcPr>
            <w:tcW w:w="2500" w:type="pct"/>
            <w:shd w:val="clear" w:color="auto" w:fill="EEEEEE"/>
          </w:tcPr>
          <w:p>
            <w:r>
              <w:t xml:space="preserve">Metric</w:t>
            </w:r>
          </w:p>
        </w:tc>
        <w:tc>
          <w:tcPr>
            <w:tcW w:w="2500" w:type="pct"/>
            <w:shd w:val="clear" w:color="auto" w:fill="EEEEEE"/>
          </w:tcPr>
          <w:p>
            <w:r>
              <w:t xml:space="preserve">When to Use</w:t>
            </w:r>
          </w:p>
        </w:tc>
      </w:tr>
      <w:tr>
        <w:tc>
          <w:tcPr>
            <w:tcW w:w="2500" w:type="pct"/>
          </w:tcPr>
          <w:p>
            <w:r>
              <w:t xml:space="preserve">Output sentiment disparity</w:t>
            </w:r>
          </w:p>
        </w:tc>
        <w:tc>
          <w:tcPr>
            <w:tcW w:w="2500" w:type="pct"/>
          </w:tcPr>
          <w:p>
            <w:r>
              <w:t xml:space="preserve">Sentiment per demographic prompt set</w:t>
            </w:r>
          </w:p>
        </w:tc>
      </w:tr>
      <w:tr>
        <w:tc>
          <w:tcPr>
            <w:tcW w:w="2500" w:type="pct"/>
          </w:tcPr>
          <w:p>
            <w:r>
              <w:t xml:space="preserve">Refusal rate disparity</w:t>
            </w:r>
          </w:p>
        </w:tc>
        <w:tc>
          <w:tcPr>
            <w:tcW w:w="2500" w:type="pct"/>
          </w:tcPr>
          <w:p>
            <w:r>
              <w:t xml:space="preserve">Refusals across demographic prompts</w:t>
            </w:r>
          </w:p>
        </w:tc>
      </w:tr>
      <w:tr>
        <w:tc>
          <w:tcPr>
            <w:tcW w:w="2500" w:type="pct"/>
          </w:tcPr>
          <w:p>
            <w:r>
              <w:t xml:space="preserve">Toxicity disparity</w:t>
            </w:r>
          </w:p>
        </w:tc>
        <w:tc>
          <w:tcPr>
            <w:tcW w:w="2500" w:type="pct"/>
          </w:tcPr>
          <w:p>
            <w:r>
              <w:t xml:space="preserve">Toxicity score per demographic condition</w:t>
            </w:r>
          </w:p>
        </w:tc>
      </w:tr>
      <w:tr>
        <w:tc>
          <w:tcPr>
            <w:tcW w:w="2500" w:type="pct"/>
          </w:tcPr>
          <w:p>
            <w:r>
              <w:t xml:space="preserve">Representation disparity</w:t>
            </w:r>
          </w:p>
        </w:tc>
        <w:tc>
          <w:tcPr>
            <w:tcW w:w="2500" w:type="pct"/>
          </w:tcPr>
          <w:p>
            <w:r>
              <w:t xml:space="preserve">Quality and length of generated content per group</w:t>
            </w:r>
          </w:p>
        </w:tc>
      </w:tr>
      <w:tr>
        <w:tc>
          <w:tcPr>
            <w:tcW w:w="2500" w:type="pct"/>
          </w:tcPr>
          <w:p>
            <w:r>
              <w:t xml:space="preserve">Stereotype benchmarks</w:t>
            </w:r>
          </w:p>
        </w:tc>
        <w:tc>
          <w:tcPr>
            <w:tcW w:w="2500" w:type="pct"/>
          </w:tcPr>
          <w:p>
            <w:r>
              <w:t xml:space="preserve">StereoSet, CrowS-Pairs, BBQ, WinoBias scores</w:t>
            </w:r>
          </w:p>
        </w:tc>
      </w:tr>
    </w:tbl>
    <w:p/>
    <w:p/>
    <w:p/>
    <w:p>
      <w:pPr>
        <w:pStyle w:val="Heading2"/>
      </w:pPr>
      <w:r>
        <w:t xml:space="preserve">Section 4 — Test Plan</w:t>
      </w:r>
    </w:p>
    <w:p/>
    <w:tbl>
      <w:tblPr>
        <w:tblW w:w="5000" w:type="pct"/>
        <w:tblBorders>
          <w:top w:val="single" w:sz="4" w:color="auto"/>
          <w:bottom w:val="single" w:sz="4" w:color="auto"/>
          <w:left w:val="single" w:sz="4" w:color="auto"/>
          <w:right w:val="single" w:sz="4" w:color="auto"/>
          <w:insideH w:val="single" w:sz="4" w:color="auto"/>
          <w:insideV w:val="single" w:sz="4" w:color="auto"/>
        </w:tblBorders>
      </w:tblPr>
      <w:tblGrid>
        <w:gridCol w:w="1250"/>
        <w:gridCol w:w="1250"/>
        <w:gridCol w:w="1250"/>
        <w:gridCol w:w="1250"/>
      </w:tblGrid>
      <w:tr>
        <w:tc>
          <w:tcPr>
            <w:tcW w:w="1250" w:type="pct"/>
            <w:shd w:val="clear" w:color="auto" w:fill="EEEEEE"/>
          </w:tcPr>
          <w:p>
            <w:r>
              <w:t xml:space="preserve">#</w:t>
            </w:r>
          </w:p>
        </w:tc>
        <w:tc>
          <w:tcPr>
            <w:tcW w:w="1250" w:type="pct"/>
            <w:shd w:val="clear" w:color="auto" w:fill="EEEEEE"/>
          </w:tcPr>
          <w:p>
            <w:r>
              <w:t xml:space="preserve">Activity</w:t>
            </w:r>
          </w:p>
        </w:tc>
        <w:tc>
          <w:tcPr>
            <w:tcW w:w="1250" w:type="pct"/>
            <w:shd w:val="clear" w:color="auto" w:fill="EEEEEE"/>
          </w:tcPr>
          <w:p>
            <w:r>
              <w:t xml:space="preserve">Owner</w:t>
            </w:r>
          </w:p>
        </w:tc>
        <w:tc>
          <w:tcPr>
            <w:tcW w:w="1250" w:type="pct"/>
            <w:shd w:val="clear" w:color="auto" w:fill="EEEEEE"/>
          </w:tcPr>
          <w:p>
            <w:r>
              <w:t xml:space="preserve">Due</w:t>
            </w:r>
          </w:p>
        </w:tc>
      </w:tr>
      <w:tr>
        <w:tc>
          <w:tcPr>
            <w:tcW w:w="1250" w:type="pct"/>
          </w:tcPr>
          <w:p>
            <w:r>
              <w:t xml:space="preserve">4.1</w:t>
            </w:r>
          </w:p>
        </w:tc>
        <w:tc>
          <w:tcPr>
            <w:tcW w:w="1250" w:type="pct"/>
          </w:tcPr>
          <w:p>
            <w:r>
              <w:t xml:space="preserve">Define test dataset(s) with documented demographic labels</w:t>
            </w:r>
          </w:p>
        </w:tc>
        <w:tc>
          <w:tcPr>
            <w:tcW w:w="1250" w:type="pct"/>
          </w:tcPr>
          <w:p/>
        </w:tc>
        <w:tc>
          <w:tcPr>
            <w:tcW w:w="1250" w:type="pct"/>
          </w:tcPr>
          <w:p/>
        </w:tc>
      </w:tr>
      <w:tr>
        <w:tc>
          <w:tcPr>
            <w:tcW w:w="1250" w:type="pct"/>
          </w:tcPr>
          <w:p>
            <w:r>
              <w:t xml:space="preserve">4.2</w:t>
            </w:r>
          </w:p>
        </w:tc>
        <w:tc>
          <w:tcPr>
            <w:tcW w:w="1250" w:type="pct"/>
          </w:tcPr>
          <w:p>
            <w:r>
              <w:t xml:space="preserve">Document consent and lawful basis for demographic data collection</w:t>
            </w:r>
          </w:p>
        </w:tc>
        <w:tc>
          <w:tcPr>
            <w:tcW w:w="1250" w:type="pct"/>
          </w:tcPr>
          <w:p/>
        </w:tc>
        <w:tc>
          <w:tcPr>
            <w:tcW w:w="1250" w:type="pct"/>
          </w:tcPr>
          <w:p/>
        </w:tc>
      </w:tr>
      <w:tr>
        <w:tc>
          <w:tcPr>
            <w:tcW w:w="1250" w:type="pct"/>
          </w:tcPr>
          <w:p>
            <w:r>
              <w:t xml:space="preserve">4.3</w:t>
            </w:r>
          </w:p>
        </w:tc>
        <w:tc>
          <w:tcPr>
            <w:tcW w:w="1250" w:type="pct"/>
          </w:tcPr>
          <w:p>
            <w:r>
              <w:t xml:space="preserve">Calculate baseline metrics on held-out test set</w:t>
            </w:r>
          </w:p>
        </w:tc>
        <w:tc>
          <w:tcPr>
            <w:tcW w:w="1250" w:type="pct"/>
          </w:tcPr>
          <w:p/>
        </w:tc>
        <w:tc>
          <w:tcPr>
            <w:tcW w:w="1250" w:type="pct"/>
          </w:tcPr>
          <w:p/>
        </w:tc>
      </w:tr>
      <w:tr>
        <w:tc>
          <w:tcPr>
            <w:tcW w:w="1250" w:type="pct"/>
          </w:tcPr>
          <w:p>
            <w:r>
              <w:t xml:space="preserve">4.4</w:t>
            </w:r>
          </w:p>
        </w:tc>
        <w:tc>
          <w:tcPr>
            <w:tcW w:w="1250" w:type="pct"/>
          </w:tcPr>
          <w:p>
            <w:r>
              <w:t xml:space="preserve">Set acceptance thresholds for each metric</w:t>
            </w:r>
          </w:p>
        </w:tc>
        <w:tc>
          <w:tcPr>
            <w:tcW w:w="1250" w:type="pct"/>
          </w:tcPr>
          <w:p/>
        </w:tc>
        <w:tc>
          <w:tcPr>
            <w:tcW w:w="1250" w:type="pct"/>
          </w:tcPr>
          <w:p/>
        </w:tc>
      </w:tr>
      <w:tr>
        <w:tc>
          <w:tcPr>
            <w:tcW w:w="1250" w:type="pct"/>
          </w:tcPr>
          <w:p>
            <w:r>
              <w:t xml:space="preserve">4.5</w:t>
            </w:r>
          </w:p>
        </w:tc>
        <w:tc>
          <w:tcPr>
            <w:tcW w:w="1250" w:type="pct"/>
          </w:tcPr>
          <w:p>
            <w:r>
              <w:t xml:space="preserve">Run intersectional tests (e.g., Black women, Hispanic men over 50)</w:t>
            </w:r>
          </w:p>
        </w:tc>
        <w:tc>
          <w:tcPr>
            <w:tcW w:w="1250" w:type="pct"/>
          </w:tcPr>
          <w:p/>
        </w:tc>
        <w:tc>
          <w:tcPr>
            <w:tcW w:w="1250" w:type="pct"/>
          </w:tcPr>
          <w:p/>
        </w:tc>
      </w:tr>
      <w:tr>
        <w:tc>
          <w:tcPr>
            <w:tcW w:w="1250" w:type="pct"/>
          </w:tcPr>
          <w:p>
            <w:r>
              <w:t xml:space="preserve">4.6</w:t>
            </w:r>
          </w:p>
        </w:tc>
        <w:tc>
          <w:tcPr>
            <w:tcW w:w="1250" w:type="pct"/>
          </w:tcPr>
          <w:p>
            <w:r>
              <w:t xml:space="preserve">Run adversarial / counterfactual tests</w:t>
            </w:r>
          </w:p>
        </w:tc>
        <w:tc>
          <w:tcPr>
            <w:tcW w:w="1250" w:type="pct"/>
          </w:tcPr>
          <w:p/>
        </w:tc>
        <w:tc>
          <w:tcPr>
            <w:tcW w:w="1250" w:type="pct"/>
          </w:tcPr>
          <w:p/>
        </w:tc>
      </w:tr>
      <w:tr>
        <w:tc>
          <w:tcPr>
            <w:tcW w:w="1250" w:type="pct"/>
          </w:tcPr>
          <w:p>
            <w:r>
              <w:t xml:space="preserve">4.7</w:t>
            </w:r>
          </w:p>
        </w:tc>
        <w:tc>
          <w:tcPr>
            <w:tcW w:w="1250" w:type="pct"/>
          </w:tcPr>
          <w:p>
            <w:r>
              <w:t xml:space="preserve">Run LLM-specific fairness benchmarks where applicable</w:t>
            </w:r>
          </w:p>
        </w:tc>
        <w:tc>
          <w:tcPr>
            <w:tcW w:w="1250" w:type="pct"/>
          </w:tcPr>
          <w:p/>
        </w:tc>
        <w:tc>
          <w:tcPr>
            <w:tcW w:w="1250" w:type="pct"/>
          </w:tcPr>
          <w:p/>
        </w:tc>
      </w:tr>
      <w:tr>
        <w:tc>
          <w:tcPr>
            <w:tcW w:w="1250" w:type="pct"/>
          </w:tcPr>
          <w:p>
            <w:r>
              <w:t xml:space="preserve">4.8</w:t>
            </w:r>
          </w:p>
        </w:tc>
        <w:tc>
          <w:tcPr>
            <w:tcW w:w="1250" w:type="pct"/>
          </w:tcPr>
          <w:p>
            <w:r>
              <w:t xml:space="preserve">Compare results to the legacy or alternative system</w:t>
            </w:r>
          </w:p>
        </w:tc>
        <w:tc>
          <w:tcPr>
            <w:tcW w:w="1250" w:type="pct"/>
          </w:tcPr>
          <w:p/>
        </w:tc>
        <w:tc>
          <w:tcPr>
            <w:tcW w:w="1250" w:type="pct"/>
          </w:tcPr>
          <w:p/>
        </w:tc>
      </w:tr>
      <w:tr>
        <w:tc>
          <w:tcPr>
            <w:tcW w:w="1250" w:type="pct"/>
          </w:tcPr>
          <w:p>
            <w:r>
              <w:t xml:space="preserve">4.9</w:t>
            </w:r>
          </w:p>
        </w:tc>
        <w:tc>
          <w:tcPr>
            <w:tcW w:w="1250" w:type="pct"/>
          </w:tcPr>
          <w:p>
            <w:r>
              <w:t xml:space="preserve">Stakeholder review (legal, DEI, domain SMEs)</w:t>
            </w:r>
          </w:p>
        </w:tc>
        <w:tc>
          <w:tcPr>
            <w:tcW w:w="1250" w:type="pct"/>
          </w:tcPr>
          <w:p/>
        </w:tc>
        <w:tc>
          <w:tcPr>
            <w:tcW w:w="1250" w:type="pct"/>
          </w:tcPr>
          <w:p/>
        </w:tc>
      </w:tr>
      <w:tr>
        <w:tc>
          <w:tcPr>
            <w:tcW w:w="1250" w:type="pct"/>
          </w:tcPr>
          <w:p>
            <w:r>
              <w:t xml:space="preserve">4.10</w:t>
            </w:r>
          </w:p>
        </w:tc>
        <w:tc>
          <w:tcPr>
            <w:tcW w:w="1250" w:type="pct"/>
          </w:tcPr>
          <w:p>
            <w:r>
              <w:t xml:space="preserve">Sign-off before deployment</w:t>
            </w:r>
          </w:p>
        </w:tc>
        <w:tc>
          <w:tcPr>
            <w:tcW w:w="1250" w:type="pct"/>
          </w:tcPr>
          <w:p/>
        </w:tc>
        <w:tc>
          <w:tcPr>
            <w:tcW w:w="1250" w:type="pct"/>
          </w:tcPr>
          <w:p/>
        </w:tc>
      </w:tr>
    </w:tbl>
    <w:p/>
    <w:p/>
    <w:p/>
    <w:p>
      <w:pPr>
        <w:pStyle w:val="Heading2"/>
      </w:pPr>
      <w:r>
        <w:t xml:space="preserve">Section 5 — Demographic Data Handling</w:t>
      </w:r>
    </w:p>
    <w:p/>
    <w:p>
      <w:r>
        <w:t xml:space="preserve">Demographic data is itself sensitive. Follow these rules:</w:t>
      </w:r>
    </w:p>
    <w:p/>
    <w:p>
      <w:pPr>
        <w:ind w:left="360"/>
      </w:pPr>
      <w:r>
        <w:t xml:space="preserve">•  Collect protected attribute data </w:t>
      </w:r>
      <w:r>
        <w:rPr>
          <w:b/>
        </w:rPr>
        <w:t xml:space="preserve">only</w:t>
      </w:r>
      <w:r>
        <w:t xml:space="preserve"> for bias testing, with documented legal basis.</w:t>
      </w:r>
    </w:p>
    <w:p>
      <w:pPr>
        <w:ind w:left="360"/>
      </w:pPr>
      <w:r>
        <w:t xml:space="preserve">•  Separate the demographic data from the production pipeline; use it only in the test environment.</w:t>
      </w:r>
    </w:p>
    <w:p>
      <w:pPr>
        <w:ind w:left="360"/>
      </w:pPr>
      <w:r>
        <w:t xml:space="preserve">•  Use privacy-preserving techniques (hashing, aggregation, differential privacy) where possible.</w:t>
      </w:r>
    </w:p>
    <w:p>
      <w:pPr>
        <w:ind w:left="360"/>
      </w:pPr>
      <w:r>
        <w:t xml:space="preserve">•  Document retention and destruction of demographic data post-test.</w:t>
      </w:r>
    </w:p>
    <w:p>
      <w:pPr>
        <w:ind w:left="360"/>
      </w:pPr>
      <w:r>
        <w:t xml:space="preserve">•  Offer data subjects meaningful opt-out where legally required.</w:t>
      </w:r>
    </w:p>
    <w:p/>
    <w:p/>
    <w:p/>
    <w:p>
      <w:pPr>
        <w:pStyle w:val="Heading2"/>
      </w:pPr>
      <w:r>
        <w:t xml:space="preserve">Section 6 — Remediation Strategies</w:t>
      </w:r>
    </w:p>
    <w:p/>
    <w:tbl>
      <w:tblPr>
        <w:tblW w:w="5000" w:type="pct"/>
        <w:tblBorders>
          <w:top w:val="single" w:sz="4" w:color="auto"/>
          <w:bottom w:val="single" w:sz="4" w:color="auto"/>
          <w:left w:val="single" w:sz="4" w:color="auto"/>
          <w:right w:val="single" w:sz="4" w:color="auto"/>
          <w:insideH w:val="single" w:sz="4" w:color="auto"/>
          <w:insideV w:val="single" w:sz="4" w:color="auto"/>
        </w:tblBorders>
      </w:tblPr>
      <w:tblGrid>
        <w:gridCol w:w="1666"/>
        <w:gridCol w:w="1666"/>
        <w:gridCol w:w="1666"/>
      </w:tblGrid>
      <w:tr>
        <w:tc>
          <w:tcPr>
            <w:tcW w:w="1666" w:type="pct"/>
            <w:shd w:val="clear" w:color="auto" w:fill="EEEEEE"/>
          </w:tcPr>
          <w:p>
            <w:r>
              <w:t xml:space="preserve">Technique</w:t>
            </w:r>
          </w:p>
        </w:tc>
        <w:tc>
          <w:tcPr>
            <w:tcW w:w="1666" w:type="pct"/>
            <w:shd w:val="clear" w:color="auto" w:fill="EEEEEE"/>
          </w:tcPr>
          <w:p>
            <w:r>
              <w:t xml:space="preserve">Stage</w:t>
            </w:r>
          </w:p>
        </w:tc>
        <w:tc>
          <w:tcPr>
            <w:tcW w:w="1666" w:type="pct"/>
            <w:shd w:val="clear" w:color="auto" w:fill="EEEEEE"/>
          </w:tcPr>
          <w:p>
            <w:r>
              <w:t xml:space="preserve">When to Apply</w:t>
            </w:r>
          </w:p>
        </w:tc>
      </w:tr>
      <w:tr>
        <w:tc>
          <w:tcPr>
            <w:tcW w:w="1666" w:type="pct"/>
          </w:tcPr>
          <w:p>
            <w:r>
              <w:t xml:space="preserve">Re-sampling / re-weighting</w:t>
            </w:r>
          </w:p>
        </w:tc>
        <w:tc>
          <w:tcPr>
            <w:tcW w:w="1666" w:type="pct"/>
          </w:tcPr>
          <w:p>
            <w:r>
              <w:t xml:space="preserve">Pre-processing</w:t>
            </w:r>
          </w:p>
        </w:tc>
        <w:tc>
          <w:tcPr>
            <w:tcW w:w="1666" w:type="pct"/>
          </w:tcPr>
          <w:p>
            <w:r>
              <w:t xml:space="preserve">Data imbalance drives disparity</w:t>
            </w:r>
          </w:p>
        </w:tc>
      </w:tr>
      <w:tr>
        <w:tc>
          <w:tcPr>
            <w:tcW w:w="1666" w:type="pct"/>
          </w:tcPr>
          <w:p>
            <w:r>
              <w:t xml:space="preserve">Disparate impact remover</w:t>
            </w:r>
          </w:p>
        </w:tc>
        <w:tc>
          <w:tcPr>
            <w:tcW w:w="1666" w:type="pct"/>
          </w:tcPr>
          <w:p>
            <w:r>
              <w:t xml:space="preserve">Pre-processing</w:t>
            </w:r>
          </w:p>
        </w:tc>
        <w:tc>
          <w:tcPr>
            <w:tcW w:w="1666" w:type="pct"/>
          </w:tcPr>
          <w:p>
            <w:r>
              <w:t xml:space="preserve">Proxy variables correlate with protected attribute</w:t>
            </w:r>
          </w:p>
        </w:tc>
      </w:tr>
      <w:tr>
        <w:tc>
          <w:tcPr>
            <w:tcW w:w="1666" w:type="pct"/>
          </w:tcPr>
          <w:p>
            <w:r>
              <w:t xml:space="preserve">Adversarial debiasing</w:t>
            </w:r>
          </w:p>
        </w:tc>
        <w:tc>
          <w:tcPr>
            <w:tcW w:w="1666" w:type="pct"/>
          </w:tcPr>
          <w:p>
            <w:r>
              <w:t xml:space="preserve">In-processing</w:t>
            </w:r>
          </w:p>
        </w:tc>
        <w:tc>
          <w:tcPr>
            <w:tcW w:w="1666" w:type="pct"/>
          </w:tcPr>
          <w:p>
            <w:r>
              <w:t xml:space="preserve">Enforce invariance during training</w:t>
            </w:r>
          </w:p>
        </w:tc>
      </w:tr>
      <w:tr>
        <w:tc>
          <w:tcPr>
            <w:tcW w:w="1666" w:type="pct"/>
          </w:tcPr>
          <w:p>
            <w:r>
              <w:t xml:space="preserve">Constraint optimization (Fairlearn, Reductions)</w:t>
            </w:r>
          </w:p>
        </w:tc>
        <w:tc>
          <w:tcPr>
            <w:tcW w:w="1666" w:type="pct"/>
          </w:tcPr>
          <w:p>
            <w:r>
              <w:t xml:space="preserve">In-processing</w:t>
            </w:r>
          </w:p>
        </w:tc>
        <w:tc>
          <w:tcPr>
            <w:tcW w:w="1666" w:type="pct"/>
          </w:tcPr>
          <w:p>
            <w:r>
              <w:t xml:space="preserve">Explicit fairness constraint in the loss</w:t>
            </w:r>
          </w:p>
        </w:tc>
      </w:tr>
      <w:tr>
        <w:tc>
          <w:tcPr>
            <w:tcW w:w="1666" w:type="pct"/>
          </w:tcPr>
          <w:p>
            <w:r>
              <w:t xml:space="preserve">Calibrated equalized odds post-processing</w:t>
            </w:r>
          </w:p>
        </w:tc>
        <w:tc>
          <w:tcPr>
            <w:tcW w:w="1666" w:type="pct"/>
          </w:tcPr>
          <w:p>
            <w:r>
              <w:t xml:space="preserve">Post-processing</w:t>
            </w:r>
          </w:p>
        </w:tc>
        <w:tc>
          <w:tcPr>
            <w:tcW w:w="1666" w:type="pct"/>
          </w:tcPr>
          <w:p>
            <w:r>
              <w:t xml:space="preserve">Cannot retrain — adjust scores</w:t>
            </w:r>
          </w:p>
        </w:tc>
      </w:tr>
      <w:tr>
        <w:tc>
          <w:tcPr>
            <w:tcW w:w="1666" w:type="pct"/>
          </w:tcPr>
          <w:p>
            <w:r>
              <w:t xml:space="preserve">Reject option classification</w:t>
            </w:r>
          </w:p>
        </w:tc>
        <w:tc>
          <w:tcPr>
            <w:tcW w:w="1666" w:type="pct"/>
          </w:tcPr>
          <w:p>
            <w:r>
              <w:t xml:space="preserve">Post-processing</w:t>
            </w:r>
          </w:p>
        </w:tc>
        <w:tc>
          <w:tcPr>
            <w:tcW w:w="1666" w:type="pct"/>
          </w:tcPr>
          <w:p>
            <w:r>
              <w:t xml:space="preserve">High-uncertainty predictions need human review</w:t>
            </w:r>
          </w:p>
        </w:tc>
      </w:tr>
      <w:tr>
        <w:tc>
          <w:tcPr>
            <w:tcW w:w="1666" w:type="pct"/>
          </w:tcPr>
          <w:p>
            <w:r>
              <w:t xml:space="preserve">RAG / system prompt rewriting</w:t>
            </w:r>
          </w:p>
        </w:tc>
        <w:tc>
          <w:tcPr>
            <w:tcW w:w="1666" w:type="pct"/>
          </w:tcPr>
          <w:p>
            <w:r>
              <w:t xml:space="preserve">Post-processing (LLM)</w:t>
            </w:r>
          </w:p>
        </w:tc>
        <w:tc>
          <w:tcPr>
            <w:tcW w:w="1666" w:type="pct"/>
          </w:tcPr>
          <w:p>
            <w:r>
              <w:t xml:space="preserve">Reduce stereotyped outputs</w:t>
            </w:r>
          </w:p>
        </w:tc>
      </w:tr>
      <w:tr>
        <w:tc>
          <w:tcPr>
            <w:tcW w:w="1666" w:type="pct"/>
          </w:tcPr>
          <w:p>
            <w:r>
              <w:t xml:space="preserve">Remove the feature / model</w:t>
            </w:r>
          </w:p>
        </w:tc>
        <w:tc>
          <w:tcPr>
            <w:tcW w:w="1666" w:type="pct"/>
          </w:tcPr>
          <w:p>
            <w:r>
              <w:t xml:space="preserve">Any</w:t>
            </w:r>
          </w:p>
        </w:tc>
        <w:tc>
          <w:tcPr>
            <w:tcW w:w="1666" w:type="pct"/>
          </w:tcPr>
          <w:p>
            <w:r>
              <w:t xml:space="preserve">Harm cannot be mitigated to acceptable level</w:t>
            </w:r>
          </w:p>
        </w:tc>
      </w:tr>
    </w:tbl>
    <w:p/>
    <w:p>
      <w:r>
        <w:t xml:space="preserve">Document every remediation and the residual disparity after remediation.</w:t>
      </w:r>
    </w:p>
    <w:p/>
    <w:p/>
    <w:p/>
    <w:p>
      <w:pPr>
        <w:pStyle w:val="Heading2"/>
      </w:pPr>
      <w:r>
        <w:t xml:space="preserve">Section 7 — Production Monitoring</w:t>
      </w:r>
    </w:p>
    <w:p/>
    <w:p>
      <w:r>
        <w:t xml:space="preserve">Bias emerges over time. Monitor continuously.</w:t>
      </w:r>
    </w:p>
    <w:p/>
    <w:tbl>
      <w:tblPr>
        <w:tblW w:w="5000" w:type="pct"/>
        <w:tblBorders>
          <w:top w:val="single" w:sz="4" w:color="auto"/>
          <w:bottom w:val="single" w:sz="4" w:color="auto"/>
          <w:left w:val="single" w:sz="4" w:color="auto"/>
          <w:right w:val="single" w:sz="4" w:color="auto"/>
          <w:insideH w:val="single" w:sz="4" w:color="auto"/>
          <w:insideV w:val="single" w:sz="4" w:color="auto"/>
        </w:tblBorders>
      </w:tblPr>
      <w:tblGrid>
        <w:gridCol w:w="1666"/>
        <w:gridCol w:w="1666"/>
        <w:gridCol w:w="1666"/>
      </w:tblGrid>
      <w:tr>
        <w:tc>
          <w:tcPr>
            <w:tcW w:w="1666" w:type="pct"/>
            <w:shd w:val="clear" w:color="auto" w:fill="EEEEEE"/>
          </w:tcPr>
          <w:p>
            <w:r>
              <w:t xml:space="preserve">#</w:t>
            </w:r>
          </w:p>
        </w:tc>
        <w:tc>
          <w:tcPr>
            <w:tcW w:w="1666" w:type="pct"/>
            <w:shd w:val="clear" w:color="auto" w:fill="EEEEEE"/>
          </w:tcPr>
          <w:p>
            <w:r>
              <w:t xml:space="preserve">Monitor</w:t>
            </w:r>
          </w:p>
        </w:tc>
        <w:tc>
          <w:tcPr>
            <w:tcW w:w="1666" w:type="pct"/>
            <w:shd w:val="clear" w:color="auto" w:fill="EEEEEE"/>
          </w:tcPr>
          <w:p>
            <w:r>
              <w:t xml:space="preserve">Frequency</w:t>
            </w:r>
          </w:p>
        </w:tc>
      </w:tr>
      <w:tr>
        <w:tc>
          <w:tcPr>
            <w:tcW w:w="1666" w:type="pct"/>
          </w:tcPr>
          <w:p>
            <w:r>
              <w:t xml:space="preserve">7.1</w:t>
            </w:r>
          </w:p>
        </w:tc>
        <w:tc>
          <w:tcPr>
            <w:tcW w:w="1666" w:type="pct"/>
          </w:tcPr>
          <w:p>
            <w:r>
              <w:t xml:space="preserve">Per-group prediction rates</w:t>
            </w:r>
          </w:p>
        </w:tc>
        <w:tc>
          <w:tcPr>
            <w:tcW w:w="1666" w:type="pct"/>
          </w:tcPr>
          <w:p>
            <w:r>
              <w:t xml:space="preserve">Daily</w:t>
            </w:r>
          </w:p>
        </w:tc>
      </w:tr>
      <w:tr>
        <w:tc>
          <w:tcPr>
            <w:tcW w:w="1666" w:type="pct"/>
          </w:tcPr>
          <w:p>
            <w:r>
              <w:t xml:space="preserve">7.2</w:t>
            </w:r>
          </w:p>
        </w:tc>
        <w:tc>
          <w:tcPr>
            <w:tcW w:w="1666" w:type="pct"/>
          </w:tcPr>
          <w:p>
            <w:r>
              <w:t xml:space="preserve">Per-group model error rates</w:t>
            </w:r>
          </w:p>
        </w:tc>
        <w:tc>
          <w:tcPr>
            <w:tcW w:w="1666" w:type="pct"/>
          </w:tcPr>
          <w:p>
            <w:r>
              <w:t xml:space="preserve">Weekly</w:t>
            </w:r>
          </w:p>
        </w:tc>
      </w:tr>
      <w:tr>
        <w:tc>
          <w:tcPr>
            <w:tcW w:w="1666" w:type="pct"/>
          </w:tcPr>
          <w:p>
            <w:r>
              <w:t xml:space="preserve">7.3</w:t>
            </w:r>
          </w:p>
        </w:tc>
        <w:tc>
          <w:tcPr>
            <w:tcW w:w="1666" w:type="pct"/>
          </w:tcPr>
          <w:p>
            <w:r>
              <w:t xml:space="preserve">Data drift vs. training distribution</w:t>
            </w:r>
          </w:p>
        </w:tc>
        <w:tc>
          <w:tcPr>
            <w:tcW w:w="1666" w:type="pct"/>
          </w:tcPr>
          <w:p>
            <w:r>
              <w:t xml:space="preserve">Weekly</w:t>
            </w:r>
          </w:p>
        </w:tc>
      </w:tr>
      <w:tr>
        <w:tc>
          <w:tcPr>
            <w:tcW w:w="1666" w:type="pct"/>
          </w:tcPr>
          <w:p>
            <w:r>
              <w:t xml:space="preserve">7.4</w:t>
            </w:r>
          </w:p>
        </w:tc>
        <w:tc>
          <w:tcPr>
            <w:tcW w:w="1666" w:type="pct"/>
          </w:tcPr>
          <w:p>
            <w:r>
              <w:t xml:space="preserve">Label feedback drift (where labels arrive late)</w:t>
            </w:r>
          </w:p>
        </w:tc>
        <w:tc>
          <w:tcPr>
            <w:tcW w:w="1666" w:type="pct"/>
          </w:tcPr>
          <w:p>
            <w:r>
              <w:t xml:space="preserve">Monthly</w:t>
            </w:r>
          </w:p>
        </w:tc>
      </w:tr>
      <w:tr>
        <w:tc>
          <w:tcPr>
            <w:tcW w:w="1666" w:type="pct"/>
          </w:tcPr>
          <w:p>
            <w:r>
              <w:t xml:space="preserve">7.5</w:t>
            </w:r>
          </w:p>
        </w:tc>
        <w:tc>
          <w:tcPr>
            <w:tcW w:w="1666" w:type="pct"/>
          </w:tcPr>
          <w:p>
            <w:r>
              <w:t xml:space="preserve">Calibration drift</w:t>
            </w:r>
          </w:p>
        </w:tc>
        <w:tc>
          <w:tcPr>
            <w:tcW w:w="1666" w:type="pct"/>
          </w:tcPr>
          <w:p>
            <w:r>
              <w:t xml:space="preserve">Monthly</w:t>
            </w:r>
          </w:p>
        </w:tc>
      </w:tr>
      <w:tr>
        <w:tc>
          <w:tcPr>
            <w:tcW w:w="1666" w:type="pct"/>
          </w:tcPr>
          <w:p>
            <w:r>
              <w:t xml:space="preserve">7.6</w:t>
            </w:r>
          </w:p>
        </w:tc>
        <w:tc>
          <w:tcPr>
            <w:tcW w:w="1666" w:type="pct"/>
          </w:tcPr>
          <w:p>
            <w:r>
              <w:t xml:space="preserve">Fairness metric re-calculation against acceptance thresholds</w:t>
            </w:r>
          </w:p>
        </w:tc>
        <w:tc>
          <w:tcPr>
            <w:tcW w:w="1666" w:type="pct"/>
          </w:tcPr>
          <w:p>
            <w:r>
              <w:t xml:space="preserve">Quarterly</w:t>
            </w:r>
          </w:p>
        </w:tc>
      </w:tr>
      <w:tr>
        <w:tc>
          <w:tcPr>
            <w:tcW w:w="1666" w:type="pct"/>
          </w:tcPr>
          <w:p>
            <w:r>
              <w:t xml:space="preserve">7.7</w:t>
            </w:r>
          </w:p>
        </w:tc>
        <w:tc>
          <w:tcPr>
            <w:tcW w:w="1666" w:type="pct"/>
          </w:tcPr>
          <w:p>
            <w:r>
              <w:t xml:space="preserve">Stakeholder fairness review meeting</w:t>
            </w:r>
          </w:p>
        </w:tc>
        <w:tc>
          <w:tcPr>
            <w:tcW w:w="1666" w:type="pct"/>
          </w:tcPr>
          <w:p>
            <w:r>
              <w:t xml:space="preserve">Quarterly</w:t>
            </w:r>
          </w:p>
        </w:tc>
      </w:tr>
    </w:tbl>
    <w:p/>
    <w:p>
      <w:r>
        <w:t xml:space="preserve">Define automated alert thresholds and an escalation path. Treat a fairness breach like a security incident.</w:t>
      </w:r>
    </w:p>
    <w:p/>
    <w:p/>
    <w:p/>
    <w:p>
      <w:pPr>
        <w:pStyle w:val="Heading2"/>
      </w:pPr>
      <w:r>
        <w:t xml:space="preserve">Section 8 — Documentation and Evidence</w:t>
      </w:r>
    </w:p>
    <w:p/>
    <w:p>
      <w:r>
        <w:t xml:space="preserve">For every system, retain:</w:t>
      </w:r>
    </w:p>
    <w:p/>
    <w:p>
      <w:pPr>
        <w:ind w:left="360"/>
      </w:pPr>
      <w:r>
        <w:t xml:space="preserve">•  Fairness scoping document (Section 1)</w:t>
      </w:r>
    </w:p>
    <w:p>
      <w:pPr>
        <w:ind w:left="360"/>
      </w:pPr>
      <w:r>
        <w:t xml:space="preserve">•  Data audit results (Section 2)</w:t>
      </w:r>
    </w:p>
    <w:p>
      <w:pPr>
        <w:ind w:left="360"/>
      </w:pPr>
      <w:r>
        <w:t xml:space="preserve">•  Metric selection and rationale (Section 3)</w:t>
      </w:r>
    </w:p>
    <w:p>
      <w:pPr>
        <w:ind w:left="360"/>
      </w:pPr>
      <w:r>
        <w:t xml:space="preserve">•  Full test results with thresholds and pass/fail (Section 4)</w:t>
      </w:r>
    </w:p>
    <w:p>
      <w:pPr>
        <w:ind w:left="360"/>
      </w:pPr>
      <w:r>
        <w:t xml:space="preserve">•  Demographic data handling record (Section 5)</w:t>
      </w:r>
    </w:p>
    <w:p>
      <w:pPr>
        <w:ind w:left="360"/>
      </w:pPr>
      <w:r>
        <w:t xml:space="preserve">•  Remediation log and residual disparity (Section 6)</w:t>
      </w:r>
    </w:p>
    <w:p>
      <w:pPr>
        <w:ind w:left="360"/>
      </w:pPr>
      <w:r>
        <w:t xml:space="preserve">•  Monitoring dashboard and alert history (Section 7)</w:t>
      </w:r>
    </w:p>
    <w:p>
      <w:pPr>
        <w:ind w:left="360"/>
      </w:pPr>
      <w:r>
        <w:t xml:space="preserve">•  Sign-off records and model cards</w:t>
      </w:r>
    </w:p>
    <w:p/>
    <w:p>
      <w:r>
        <w:t xml:space="preserve">This package satisfies evidence requirements for ISO 42001, EU AI Act Article 15 and 17, NIST AI RMF "Measure", and most sectoral audits.</w:t>
      </w:r>
    </w:p>
    <w:p/>
    <w:p/>
    <w:p/>
    <w:p>
      <w:pPr>
        <w:pStyle w:val="Heading2"/>
      </w:pPr>
      <w:r>
        <w:t xml:space="preserve">Appendix — Suggested Open-Source Tools</w:t>
      </w:r>
    </w:p>
    <w:p/>
    <w:p>
      <w:pPr>
        <w:ind w:left="360"/>
      </w:pPr>
      <w:r>
        <w:t xml:space="preserve">•  Fairlearn (Microsoft) — metrics and mitigation</w:t>
      </w:r>
    </w:p>
    <w:p>
      <w:pPr>
        <w:ind w:left="360"/>
      </w:pPr>
      <w:r>
        <w:t xml:space="preserve">•  AI Fairness 360 (IBM) — metrics, mitigation, explanations</w:t>
      </w:r>
    </w:p>
    <w:p>
      <w:pPr>
        <w:ind w:left="360"/>
      </w:pPr>
      <w:r>
        <w:t xml:space="preserve">•  What-If Tool (TensorFlow) — interactive analysis</w:t>
      </w:r>
    </w:p>
    <w:p>
      <w:pPr>
        <w:ind w:left="360"/>
      </w:pPr>
      <w:r>
        <w:t xml:space="preserve">•  Aequitas (Data Science for Social Good) — audit toolkit</w:t>
      </w:r>
    </w:p>
    <w:p>
      <w:pPr>
        <w:ind w:left="360"/>
      </w:pPr>
      <w:r>
        <w:t xml:space="preserve">•  BBQ, BOLD, HolisticBias — LLM bias benchmarks</w:t>
      </w:r>
    </w:p>
    <w:p/>
    <w:p/>
    <w:p/>
    <w:p>
      <w:r>
        <w:rPr>
          <w:i/>
        </w:rPr>
        <w:t xml:space="preserve">This guide is provided free by Aona AI. Pair it with the AI Model Validation Checklist and AI Risk Assessment Checklist at `/resources/templates`.</w:t>
      </w:r>
    </w:p>
    <w:p/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</w:rPr>
    </w:rPrDefault>
    <w:pPrDefault>
      <w:pPr>
        <w:spacing w:after="160" w:line="276" w:lineRule="auto"/>
      </w:pPr>
    </w:pPrDefault>
  </w:docDefaults>
  <w:style w:type="paragraph" w:styleId="Heading1">
    <w:name w:val="heading 1"/>
    <w:pPr>
      <w:spacing w:before="360" w:after="120"/>
      <w:outlineLvl w:val="0"/>
    </w:pPr>
    <w:rPr>
      <w:b/>
      <w:sz w:val="40"/>
      <w:color w:val="11021D"/>
    </w:rPr>
  </w:style>
  <w:style w:type="paragraph" w:styleId="Heading2">
    <w:name w:val="heading 2"/>
    <w:pPr>
      <w:spacing w:before="280" w:after="100"/>
      <w:outlineLvl w:val="1"/>
    </w:pPr>
    <w:rPr>
      <w:b/>
      <w:sz w:val="32"/>
      <w:color w:val="6412A6"/>
    </w:rPr>
  </w:style>
  <w:style w:type="paragraph" w:styleId="Heading3">
    <w:name w:val="heading 3"/>
    <w:pPr>
      <w:spacing w:before="220" w:after="80"/>
      <w:outlineLvl w:val="2"/>
    </w:pPr>
    <w:rPr>
      <w:b/>
      <w:sz w:val="26"/>
      <w:color w:val="333333"/>
    </w:rPr>
  </w:style>
  <w:style w:type="paragraph" w:styleId="Heading4">
    <w:name w:val="heading 4"/>
    <w:pPr>
      <w:spacing w:before="180" w:after="60"/>
      <w:outlineLvl w:val="3"/>
    </w:pPr>
    <w:rPr>
      <w:b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

<file path=docProps/app.xml><?xml version="1.0" encoding="utf-8"?>
<Properties xmlns="http://schemas.openxmlformats.org/officeDocument/2006/extended-properties">
  <Application>Aona AI Template Generator</Application>
  <Company>Aona AI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ai-bias-testing-fairness-guide</dc:title>
  <dc:creator>Aona AI</dc:creator>
  <cp:lastModifiedBy>Aona AI</cp:lastModifiedBy>
  <dcterms:created xsi:type="dcterms:W3CDTF">2026-04-16T00:00:00Z</dcterms:created>
  <dcterms:modified xsi:type="dcterms:W3CDTF">2026-04-16T00:00:00Z</dcterms:modified>
</cp:coreProperties>
</file>